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Calibri" w:hAnsi="Calibri" w:cs="Calibri"/>
        </w:rPr>
      </w:pPr>
      <w:r>
        <w:rPr>
          <w:rFonts w:ascii="Calibri" w:hAnsi="Calibri" w:cs="Calibri"/>
        </w:rPr>
        <w:t>OŚRODKI (4):</w:t>
      </w:r>
    </w:p>
    <w:p>
      <w:pPr>
        <w:numPr>
          <w:ilvl w:val="0"/>
          <w:numId w:val="10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Wojewódzkie Wielospecjalistyczne Centrum Onkologii i Traumatologii im. Mikołaja Kopernika, ul. Pabianicka 62, 93-513 Łódź (WWCOiT)</w:t>
      </w:r>
    </w:p>
    <w:p>
      <w:pPr>
        <w:numPr>
          <w:ilvl w:val="0"/>
          <w:numId w:val="10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Wojskowy Instytut Medyczny, ul. Szaserów 128, 04-141 Warszawa (WIM)</w:t>
      </w:r>
    </w:p>
    <w:p>
      <w:pPr>
        <w:numPr>
          <w:ilvl w:val="0"/>
          <w:numId w:val="10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Białostockie Centrum Onkologii im. Marii Skłodowskiej-Curie w Białymstoku, Ogrodowa 12, 15-027 Białystok (BCO)</w:t>
      </w:r>
    </w:p>
    <w:p>
      <w:pPr>
        <w:numPr>
          <w:ilvl w:val="0"/>
          <w:numId w:val="10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Wojewódzki Szpital Specjalistyczny im. Najświętszej Marii Panny, ul. Bielska 104/118, 42-200 Częstochowa (WSS)</w:t>
      </w: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</w:r>
    </w:p>
    <w:p>
      <w:r/>
    </w:p>
    <w:p>
      <w:r>
        <w:rPr>
          <w:rFonts w:ascii="Calibri" w:hAnsi="Calibri" w:cs="Calibri"/>
          <w:b/>
        </w:rPr>
        <w:t>Kryteria Oceny:</w:t>
      </w:r>
      <w:r/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>60% - Cena</w:t>
      </w:r>
    </w:p>
    <w:p>
      <w:r>
        <w:rPr>
          <w:rFonts w:ascii="Calibri" w:hAnsi="Calibri" w:cs="Calibri"/>
        </w:rPr>
        <w:t>40% - Parametry techniczne</w:t>
      </w:r>
      <w:r/>
    </w:p>
    <w:p>
      <w:r/>
    </w:p>
    <w:p>
      <w:pPr>
        <w:spacing/>
        <w:jc w:val="center"/>
      </w:pPr>
      <w:r>
        <w:rPr>
          <w:rFonts w:ascii="Calibri" w:hAnsi="Calibri" w:cs="Calibri"/>
          <w:b/>
          <w:u w:color="auto" w:val="single"/>
        </w:rPr>
        <w:t>SPECYFIKACJA GRANICZNYCH PARAMETRÓW TECHNICZNO – UŻYTKOWYCH</w:t>
      </w:r>
      <w:r/>
    </w:p>
    <w:p>
      <w:pPr>
        <w:rPr>
          <w:rFonts w:ascii="Calibri" w:hAnsi="Calibri" w:cs="Calibri"/>
          <w:b/>
          <w:u w:color="auto" w:val="single"/>
        </w:rPr>
      </w:pPr>
      <w:r>
        <w:rPr>
          <w:rFonts w:ascii="Calibri" w:hAnsi="Calibri" w:cs="Calibri"/>
          <w:b/>
          <w:u w:color="auto" w:val="single"/>
        </w:rPr>
      </w:r>
    </w:p>
    <w:p>
      <w:r>
        <w:rPr>
          <w:rFonts w:ascii="Calibri" w:hAnsi="Calibri" w:cs="Calibri"/>
        </w:rPr>
        <w:t>Pełna nazwa urządzenia (typ, model): ………………………………………….</w:t>
      </w:r>
      <w:r/>
    </w:p>
    <w:p>
      <w:r>
        <w:rPr>
          <w:rFonts w:ascii="Calibri" w:hAnsi="Calibri" w:cs="Calibri"/>
        </w:rPr>
        <w:t>Producent: …………………………………………………………………………………..</w:t>
        <w:tab/>
      </w:r>
      <w:r/>
    </w:p>
    <w:p>
      <w:r>
        <w:rPr>
          <w:rFonts w:ascii="Calibri" w:hAnsi="Calibri" w:cs="Calibri"/>
          <w:color w:val="000000"/>
        </w:rPr>
        <w:t xml:space="preserve">Urządzenie musi spełniać następujący wymóg ogólny: </w:t>
      </w:r>
      <w:r/>
    </w:p>
    <w:p>
      <w:r>
        <w:rPr>
          <w:rFonts w:ascii="Calibri" w:hAnsi="Calibri" w:cs="Calibri"/>
          <w:color w:val="000000"/>
        </w:rPr>
        <w:t>- fabrycznie nowe, wyprodukowane w 2018 r., nieużywane, nie będące przedmiotem wystaw, badań naukowych, prac rozwojowych, usług badawczych, nie będące przedmiotem podemonstracyjnym i rekondycjonowanym, wcześniej nie wykorzystywane w jakimkolwiek celu przez inny podmiot, dopuszczony do obrotu i stosowania na terenie Rzeczpospolitej Polskiej zgodnie z obowiązującymi przepisami prawa (deklaracja zgodności na cały aparat).</w:t>
      </w:r>
      <w:r/>
    </w:p>
    <w:p>
      <w:r>
        <w:rPr>
          <w:rFonts w:ascii="Calibri" w:hAnsi="Calibri" w:cs="Calibri"/>
          <w:color w:val="000000"/>
        </w:rPr>
        <w:t xml:space="preserve">- kompletne, gotowe do użycia po zainstalowaniu i </w:t>
      </w:r>
      <w:r>
        <w:rPr>
          <w:rFonts w:ascii="Calibri" w:hAnsi="Calibri" w:cs="Calibri"/>
        </w:rPr>
        <w:t xml:space="preserve">przeprowadzeniu wymaganych testów odbiorczych i specjalistycznych, </w:t>
      </w:r>
      <w:r>
        <w:rPr>
          <w:rFonts w:ascii="Calibri" w:hAnsi="Calibri" w:cs="Calibri"/>
          <w:color w:val="000000"/>
        </w:rPr>
        <w:t xml:space="preserve">bez konieczności dokonywania zakupów uzupełniających (z wyjątkiem adaptacji pomieszczeń), z instrukcją obsługi w języku polskim (wraz z dostawą), objęte, pełną min. </w:t>
      </w:r>
      <w:r>
        <w:rPr>
          <w:rFonts w:ascii="Calibri" w:hAnsi="Calibri" w:cs="Calibri"/>
          <w:color w:val="ff0000"/>
        </w:rPr>
        <w:t>36 miesięczną</w:t>
      </w:r>
      <w:r>
        <w:rPr>
          <w:rFonts w:ascii="Calibri" w:hAnsi="Calibri" w:cs="Calibri"/>
          <w:color w:val="000000"/>
        </w:rPr>
        <w:t xml:space="preserve"> gwarancją.</w:t>
      </w:r>
      <w:r/>
    </w:p>
    <w:p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</w:r>
    </w:p>
    <w:tbl>
      <w:tblPr>
        <w:name w:val="Table1"/>
        <w:tabOrder w:val="0"/>
        <w:jc w:val="left"/>
        <w:tblInd w:w="132" w:type="dxa"/>
        <w:tblW w:w="14032" w:type="dxa"/>
      </w:tblPr>
      <w:tblGrid>
        <w:gridCol w:w="951"/>
        <w:gridCol w:w="7514"/>
        <w:gridCol w:w="2269"/>
        <w:gridCol w:w="1110"/>
        <w:gridCol w:w="2149"/>
        <w:gridCol w:w="39"/>
      </w:tblGrid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right"/>
            </w:pPr>
            <w:r>
              <w:rPr>
                <w:rFonts w:ascii="Calibri" w:hAnsi="Calibri" w:cs="Calibri"/>
                <w:b/>
              </w:rPr>
              <w:t>L.p.</w:t>
            </w:r>
            <w:r/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b/>
              </w:rPr>
              <w:t>Opis parametru</w:t>
            </w:r>
            <w:r/>
          </w:p>
        </w:tc>
        <w:tc>
          <w:tcPr>
            <w:tcW w:w="2269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b/>
              </w:rPr>
              <w:t>Wartość wymagana/graniczna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b/>
              </w:rPr>
              <w:t>Wartość oferowana</w:t>
            </w:r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13993" w:type="dxa"/>
            <w:gridSpan w:val="5"/>
            <w:shd w:val="solid" w:color="D9D9D9" tmshd="6553856, 14277081, 16777215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b/>
              </w:rPr>
              <w:t>I INFORMACJE OGÓLNE</w:t>
            </w:r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-4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numPr>
                <w:ilvl w:val="0"/>
                <w:numId w:val="4"/>
              </w:numPr>
              <w:ind w:left="358" w:right="-7" w:hanging="362"/>
              <w:spacing/>
              <w:jc w:val="right"/>
              <w:tabs>
                <w:tab w:val="left" w:pos="0" w:leader="none"/>
              </w:tabs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Kamera scyntygraficzna, dwugłowicowa sprzężona ze spiralnym, wielowarstwowym tomografem komputerowym (w jednej zintegrowanej obudowie) pozwalającym na wykonywanie badań diagnostycznych i korekcję obrazów radioizotopowych (korekcja pochłaniania, rozproszenia) oraz wspólnym stołem pacjenta do wykonywania niezależnych badań:</w:t>
            </w:r>
            <w:r/>
          </w:p>
          <w:p>
            <w:pPr>
              <w:ind w:left="447"/>
            </w:pPr>
            <w:r>
              <w:rPr>
                <w:rFonts w:ascii="Calibri" w:hAnsi="Calibri" w:eastAsia="Calibri" w:cs="Calibri"/>
                <w:szCs w:val="24"/>
              </w:rPr>
              <w:t xml:space="preserve">   </w:t>
            </w:r>
            <w:r>
              <w:rPr>
                <w:rFonts w:ascii="Calibri" w:hAnsi="Calibri" w:cs="Calibri"/>
                <w:szCs w:val="24"/>
              </w:rPr>
              <w:t>Scyntygraficznych :</w:t>
            </w:r>
            <w:r/>
          </w:p>
          <w:p>
            <w:pPr>
              <w:ind w:left="447"/>
            </w:pPr>
            <w:r>
              <w:rPr>
                <w:rFonts w:ascii="Calibri" w:hAnsi="Calibri" w:eastAsia="Calibri" w:cs="Calibri"/>
                <w:szCs w:val="24"/>
              </w:rPr>
              <w:t xml:space="preserve">       </w:t>
            </w:r>
            <w:r>
              <w:rPr>
                <w:rFonts w:ascii="Calibri" w:hAnsi="Calibri" w:cs="Calibri"/>
                <w:szCs w:val="24"/>
              </w:rPr>
              <w:t xml:space="preserve">- planarnych (statycznych, dynamicznych </w:t>
              <w:br w:type="textWrapping"/>
              <w:t xml:space="preserve">         i  bramkowanych)</w:t>
            </w:r>
            <w:r/>
          </w:p>
          <w:p>
            <w:pPr>
              <w:ind w:left="447"/>
            </w:pPr>
            <w:r>
              <w:rPr>
                <w:rFonts w:ascii="Calibri" w:hAnsi="Calibri" w:eastAsia="Calibri" w:cs="Calibri"/>
                <w:szCs w:val="24"/>
              </w:rPr>
              <w:t xml:space="preserve">       </w:t>
            </w:r>
            <w:r>
              <w:rPr>
                <w:rFonts w:ascii="Calibri" w:hAnsi="Calibri" w:cs="Calibri"/>
                <w:szCs w:val="24"/>
              </w:rPr>
              <w:t>- SPECT (zwykłych i  bramkowanych)</w:t>
            </w:r>
            <w:r/>
          </w:p>
          <w:p>
            <w:pPr>
              <w:ind w:left="447"/>
            </w:pPr>
            <w:r>
              <w:rPr>
                <w:rFonts w:ascii="Calibri" w:hAnsi="Calibri" w:eastAsia="Calibri" w:cs="Calibri"/>
                <w:szCs w:val="24"/>
              </w:rPr>
              <w:t xml:space="preserve">       </w:t>
            </w:r>
            <w:r>
              <w:rPr>
                <w:rFonts w:ascii="Calibri" w:hAnsi="Calibri" w:cs="Calibri"/>
                <w:szCs w:val="24"/>
              </w:rPr>
              <w:t>- WHOLE BODY</w:t>
            </w:r>
            <w:r/>
          </w:p>
          <w:p>
            <w:pPr>
              <w:ind w:left="447"/>
            </w:pPr>
            <w:r>
              <w:rPr>
                <w:rFonts w:ascii="Calibri" w:hAnsi="Calibri" w:eastAsia="Calibri" w:cs="Calibri"/>
                <w:szCs w:val="24"/>
              </w:rPr>
              <w:t xml:space="preserve">  </w:t>
            </w:r>
            <w:r>
              <w:rPr>
                <w:rFonts w:ascii="Calibri" w:hAnsi="Calibri" w:cs="Calibri"/>
                <w:szCs w:val="24"/>
              </w:rPr>
              <w:t>Hybrydowych SPECT/CT</w:t>
            </w:r>
            <w:r/>
          </w:p>
          <w:p>
            <w:pPr>
              <w:ind w:left="24"/>
            </w:pPr>
            <w:r>
              <w:rPr>
                <w:rFonts w:ascii="Calibri" w:hAnsi="Calibri" w:eastAsia="Calibri" w:cs="Calibri"/>
                <w:szCs w:val="24"/>
              </w:rPr>
              <w:t xml:space="preserve">          </w:t>
            </w:r>
            <w:r>
              <w:rPr>
                <w:rFonts w:ascii="Calibri" w:hAnsi="Calibri" w:cs="Calibri"/>
                <w:szCs w:val="24"/>
              </w:rPr>
              <w:t>Diagnostycznych CT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-4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numPr>
                <w:ilvl w:val="0"/>
                <w:numId w:val="4"/>
              </w:numPr>
              <w:ind w:left="358" w:right="-7" w:hanging="362"/>
              <w:spacing/>
              <w:jc w:val="right"/>
              <w:tabs>
                <w:tab w:val="left" w:pos="0" w:leader="none"/>
              </w:tabs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Długość ciągłego skanu SPECT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≥200 [cm]</w:t>
            </w:r>
            <w:r/>
          </w:p>
          <w:p>
            <w:pPr>
              <w:spacing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Podać wartość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ind w:left="0"/>
              <w:contextualSpacing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30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numPr>
                <w:ilvl w:val="0"/>
                <w:numId w:val="4"/>
              </w:numPr>
              <w:ind w:left="328" w:right="-7" w:hanging="328"/>
              <w:spacing/>
              <w:jc w:val="right"/>
              <w:tabs>
                <w:tab w:val="left" w:pos="0" w:leader="none"/>
              </w:tabs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Długość ciągłego skanu SPECT/CT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≥180 [cm]</w:t>
            </w:r>
            <w:r/>
          </w:p>
          <w:p>
            <w:pPr>
              <w:spacing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Podać wartość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120" w:hRule="atLeast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36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eastAsia="Calibri" w:cs="Calibri"/>
                <w:color w:val="000000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Średnica apertury gantry ograniczona przez skaner CT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≥</w:t>
            </w:r>
            <w:r>
              <w:rPr>
                <w:rFonts w:ascii="Calibri" w:hAnsi="Calibri" w:eastAsia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>70 [cm]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eastAsia="Calibri" w:cs="Calibri"/>
                <w:highlight w:val="green"/>
                <w:szCs w:val="24"/>
              </w:rPr>
            </w:pPr>
            <w:r>
              <w:rPr>
                <w:rFonts w:ascii="Calibri" w:hAnsi="Calibri" w:eastAsia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Urządzenie wraz z komponentami oznaczone znakiem CE zgodnie z dyrektywą 93/42/EEC. Elementy wyposażenia ze znakiem CE (o ile oznaczenie dotyczy danego elementu).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Wspólna paleta pacjenta dla modułów SPECT i CT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Maksymalne dopuszczalne obciążenie stołu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hAnsi="Calibri" w:eastAsia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220 kg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cya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cyan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Zasilacz awaryjny UPS umożliwiający bezpieczne zakończenie pracy i zapis danych stacji akwizycyjnej oraz stacjach diagnostycznych (nie dotyczy zasilania skanera CT).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green"/>
                <w:i/>
                <w:color w:val="00a65d"/>
                <w:szCs w:val="24"/>
              </w:rPr>
            </w:pPr>
            <w:r>
              <w:rPr>
                <w:rFonts w:ascii="Calibri" w:hAnsi="Calibri" w:cs="Calibri"/>
                <w:highlight w:val="green"/>
                <w:i/>
                <w:color w:val="00a65d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Oprogramowanie antywirusowe </w:t>
            </w:r>
            <w:r>
              <w:rPr>
                <w:rFonts w:ascii="Calibri" w:hAnsi="Calibri" w:cs="Calibri"/>
                <w:spacing w:val="-5"/>
                <w:szCs w:val="24"/>
              </w:rPr>
              <w:t>z licencją do bezpłatnej aktualizacji programu i baz danych co najmniej na okres trwania gwarancji.</w:t>
            </w:r>
            <w:r/>
          </w:p>
          <w:p>
            <w:pPr>
              <w:ind w:left="24"/>
            </w:pPr>
            <w:r/>
          </w:p>
          <w:p>
            <w:pPr>
              <w:ind w:left="24"/>
              <w:rPr>
                <w:rFonts w:ascii="Calibri" w:hAnsi="Calibri" w:cs="Calibri"/>
                <w:spacing w:val="-5"/>
                <w:szCs w:val="24"/>
              </w:rPr>
            </w:pPr>
            <w:r>
              <w:rPr>
                <w:rFonts w:ascii="Calibri" w:hAnsi="Calibri" w:cs="Calibri"/>
                <w:spacing w:val="-5"/>
                <w:szCs w:val="24"/>
              </w:rPr>
              <w:t xml:space="preserve">Zamawiający dopuszcza zainstalowanie dostępnego u zamawiającego centralnego systemu antywirusowego o ile taki system funkcjonuje w jednostce, a jego instalacja nie wpłynie negatywnie na pracę dostarczonego przez wykonawcę sprzętu i oprogramowania. </w:t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i/>
                <w:color w:val="00a65d"/>
                <w:szCs w:val="24"/>
              </w:rPr>
            </w:pPr>
            <w:r>
              <w:rPr>
                <w:rFonts w:ascii="Calibri" w:hAnsi="Calibri" w:cs="Calibri"/>
                <w:i/>
                <w:color w:val="00a65d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Zdalny dostęp serwisowy do serwera aplikacji, stacji akwizycyjnej i stacji diagnostycznych. Zdalny dostęp udzielany będzie każdorazowo na podstawie mailowego wniosku (w załączniku) oraz potwierdzenia w/w wniosku telefonicznie.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yellow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yellow"/>
                <w:color w:val="000000"/>
                <w:szCs w:val="24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Integracja elementów systemu z posiadanym przez Zamawiającego systemem PACS/RIS:</w:t>
            </w:r>
          </w:p>
          <w:p>
            <w:pPr>
              <w:numPr>
                <w:ilvl w:val="0"/>
                <w:numId w:val="11"/>
              </w:numPr>
              <w:ind w:left="360" w:hanging="360"/>
              <w:spacing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WWCOiT -  INFINITT/QRIS (ResQmed Sp. z o.o.),</w:t>
            </w:r>
          </w:p>
          <w:p>
            <w:pPr>
              <w:numPr>
                <w:ilvl w:val="0"/>
                <w:numId w:val="11"/>
              </w:numPr>
              <w:ind w:left="360" w:hanging="360"/>
              <w:spacing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WIM - Alteris (Alteris S.A.)</w:t>
            </w:r>
          </w:p>
          <w:p>
            <w:pPr>
              <w:numPr>
                <w:ilvl w:val="0"/>
                <w:numId w:val="11"/>
              </w:numPr>
              <w:ind w:left="360" w:hanging="360"/>
              <w:spacing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BCO - Alteris (Alteris S.A.)</w:t>
            </w:r>
          </w:p>
          <w:p>
            <w:pPr>
              <w:numPr>
                <w:ilvl w:val="0"/>
                <w:numId w:val="11"/>
              </w:numPr>
              <w:ind w:left="360" w:hanging="360"/>
              <w:spacing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WSS - ArPACS (Synektik S.A.)</w:t>
            </w:r>
          </w:p>
          <w:p>
            <w:pPr>
              <w:spacing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oraz bezterminowo wszelkie licencje wymagane do integracji w zakresie komunikacji DICOM (DICOM C-Store, DICOM MWL, DICOM Q/R).</w:t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highlight w:val="cyan"/>
                <w:i/>
                <w:szCs w:val="24"/>
              </w:rPr>
            </w:pPr>
            <w:r>
              <w:rPr>
                <w:rFonts w:ascii="Calibri" w:hAnsi="Calibri" w:cs="Calibri"/>
                <w:highlight w:val="cyan"/>
                <w:i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13993" w:type="dxa"/>
            <w:gridSpan w:val="5"/>
            <w:shd w:val="solid" w:color="D9D9D9" tmshd="6553856, 14277081, 16777215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360"/>
              <w:spacing/>
              <w:jc w:val="center"/>
            </w:pPr>
            <w:r>
              <w:rPr>
                <w:rFonts w:ascii="Calibri" w:hAnsi="Calibri" w:cs="Calibri"/>
                <w:b/>
              </w:rPr>
              <w:t>II MODUŁ SCYNTYGRAFICZNY</w:t>
            </w:r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Zakres obrotu obu detektorów gammakamery wokół osi gantry ≥ 360°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Ustawienie detektorów modułu SPECT  w taki sposób, że możliwe jest wykonanie badania pacjenta siedzącego na krześle, na dwa sposoby: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jak np. w badaniu nerek.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jak np. w badaniu płuc. W tym sposobie wymagana jest jednoczasowa rejestracja PA i AP pacjenta.</w:t>
            </w:r>
            <w:r/>
          </w:p>
          <w:p>
            <w:r>
              <w:rPr>
                <w:rFonts w:ascii="Calibri" w:hAnsi="Calibri" w:cs="Calibri"/>
                <w:szCs w:val="24"/>
              </w:rPr>
              <w:t>W obu sposobach wymagana jest, niezależna dla każdego z detektorów, zdalna regulacja ich wysokości mierzonej od podłogi do środka lub dolnej krawędzi pola widzenia (np. jeden detektor wyżej, drugi niżej).</w:t>
            </w:r>
            <w:r/>
          </w:p>
          <w:p>
            <w:r>
              <w:rPr>
                <w:rFonts w:ascii="Calibri" w:hAnsi="Calibri" w:cs="Calibri"/>
                <w:szCs w:val="24"/>
              </w:rPr>
              <w:t>(załączyć do oferty zdjęcia potwierdzające powyższą funkcjonalność)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Sterowane elektrycznie ustawienia detektorów gammakamery do badań pacjenta na typowym łóżku szpitalnym z regulacją wysokości podpory tułowia dla pacjenta w pozycji leżącej dla pacjenta w pozycji półleżącej ( elektrycznie sterowane położenia detektora dla zapewnienia położenia równoległego detektora nad górną częścią tułowia). Oba detektory ustawione równolegle w pozycji horyzontalnej, jeden detektor obejmuje górną połowę ciała, drugi dolną połowę ciała, z możliwością niezależnej regulacji ustawienia wysokości każdego z detektorów, a także ich pochylenia w osi dłuższej łóżka szpitalnego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Monitor podglądu dostępny z obu stron gantry (prawej i lewej) – na długim wysięgniku, prezentujący między innymi: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podgląd obrazu z obu detektorów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parametry pozycji gantry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parametry pozycji detektorów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parametry pozycji stołu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typ zainstalowanego kolimatora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yellow"/>
                <w:i/>
                <w:szCs w:val="24"/>
              </w:rPr>
            </w:pPr>
            <w:r>
              <w:rPr>
                <w:rFonts w:ascii="Calibri" w:hAnsi="Calibri" w:cs="Calibri"/>
                <w:highlight w:val="yellow"/>
                <w:i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>Pilot/piloty dostępne z obu stron gantry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-2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green"/>
                <w:i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i/>
                <w:color w:val="000000"/>
                <w:szCs w:val="24"/>
              </w:rPr>
            </w:r>
          </w:p>
          <w:p>
            <w:pPr>
              <w:rPr>
                <w:rFonts w:ascii="Calibri" w:hAnsi="Calibri" w:cs="Calibri"/>
                <w:highlight w:val="yellow"/>
                <w:i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yellow"/>
                <w:i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>Pełne użyteczne pole widzenia detektora prostokątne, bez obciętych naroży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gree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 xml:space="preserve">Wymiary prostokątnego, użytecznego pola widzenia detektora </w:t>
            </w:r>
            <w:r>
              <w:rPr>
                <w:rFonts w:ascii="Calibri" w:hAnsi="Calibri" w:cs="Calibri"/>
                <w:i/>
                <w:szCs w:val="24"/>
              </w:rPr>
              <w:t>(UFOV)</w:t>
            </w:r>
            <w:r>
              <w:rPr>
                <w:rFonts w:ascii="Calibri" w:hAnsi="Calibri" w:cs="Calibri"/>
                <w:szCs w:val="24"/>
              </w:rPr>
              <w:t xml:space="preserve">: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≥</w:t>
            </w:r>
            <w:r>
              <w:rPr>
                <w:rFonts w:ascii="Calibri" w:hAnsi="Calibri" w:eastAsia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53 x 37 [cm],</w:t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Cs w:val="24"/>
              </w:rPr>
              <w:t>podać</w:t>
            </w:r>
            <w:r>
              <w:rPr>
                <w:rFonts w:ascii="Calibri" w:hAnsi="Calibri" w:eastAsia="Calibri" w:cs="Calibri"/>
              </w:rPr>
              <w:t xml:space="preserve"> wymiary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green"/>
                <w:i/>
                <w:strike w:val="1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i/>
                <w:strike w:val="1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Liczba fotopowielaczy w każdym z detektorów 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hAnsi="Calibri" w:eastAsia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59 szt.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green"/>
                <w:i/>
                <w:strike w:val="1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i/>
                <w:strike w:val="1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>Grubość kryształu 3/8 cala.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>Pełna cyfryzacja detektora: jeden ADC na jeden fotopowielacz.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Wewnętrzna geometryczna zdolność rozdzielcza (wg standardu NEMA)</w:t>
            </w:r>
            <w:r>
              <w:rPr>
                <w:rFonts w:ascii="Calibri" w:hAnsi="Calibri" w:cs="Calibri"/>
                <w:i/>
                <w:szCs w:val="24"/>
              </w:rPr>
              <w:t>: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FWHM (UFOV) ≤ 4,0 mm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FWTM (UFOV) ≤ 8,0 mm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FWHM (CFOV) ≤ 4,0 mm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FWTM (CFOV) ≤ 8,0 mm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ind w:right="276"/>
              <w:spacing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podać poszczególne  wartości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Wewnętrzna jednorodność pola, nie skorygowana (wg standardu NEMA):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lokalna (UFOV) ≤ 3,0 %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ogólna (UFOV) ≤ 4,0 %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lokalna (CFOV) ≤ 2.5 %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ogólna (CFOV) ≤ 3,0 %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ind w:right="276"/>
              <w:spacing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podać poszczególne  wartości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Wewnętrzna liniowość przestrzenna (wg standardu NEMA):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różniczkowa (CFOV) ≤0,2 mm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całkowa (CFOV) ≤ 0,5 mm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różniczkowa (UFOV) ≤ 0,2 mm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całkowa (UFOV) ≤ 0,7 mm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ind w:right="276"/>
              <w:spacing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podać poszczególne  wartości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Wewnętrzna energetyczna zdolność rozdzielcza (wg standardu NEMA)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≤</w:t>
            </w:r>
            <w:r>
              <w:rPr>
                <w:rFonts w:ascii="Calibri" w:hAnsi="Calibri" w:eastAsia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10%,</w:t>
            </w:r>
          </w:p>
          <w:p>
            <w:pPr>
              <w:ind w:right="276"/>
              <w:spacing/>
              <w:jc w:val="center"/>
            </w:pPr>
            <w:r>
              <w:rPr>
                <w:rFonts w:ascii="Calibri" w:hAnsi="Calibri" w:cs="Calibri"/>
                <w:szCs w:val="24"/>
              </w:rPr>
              <w:t xml:space="preserve"> podać wartość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eastAsia="Calibri" w:cs="Calibri"/>
                <w:highlight w:val="green"/>
                <w:i/>
                <w:color w:val="000000"/>
                <w:szCs w:val="24"/>
              </w:rPr>
            </w:pPr>
            <w:r>
              <w:rPr>
                <w:rFonts w:ascii="Calibri" w:hAnsi="Calibri" w:eastAsia="Calibri" w:cs="Calibri"/>
                <w:highlight w:val="green"/>
                <w:i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yellow"/>
                <w:szCs w:val="24"/>
              </w:rPr>
            </w:pPr>
            <w:r>
              <w:rPr>
                <w:rFonts w:ascii="Calibri" w:hAnsi="Calibri" w:cs="Calibri"/>
                <w:highlight w:val="yellow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>Zmienna geometria położenia detektorów, możliwość ustawienia ich pod kątem 180º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gree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>Zmienna geometria położenia detektorów, możliwość ustawienia ich pod kątem 90º (np. do badań kardiologicznych SPECT).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green"/>
                <w:i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i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>Kolimatory niskoenergetyczne, wysokiej rozdzielczości (LEHR) o czułość  ≥ 200 cpm/ μCi – 2 szt. (po jednej sztuce do każdego z detektorów) mierzonej zgodnie ze standartem NEMA.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ind w:right="276"/>
              <w:spacing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podać czułość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green"/>
                <w:i/>
                <w:color w:val="00a65d"/>
                <w:szCs w:val="24"/>
              </w:rPr>
            </w:pPr>
            <w:r>
              <w:rPr>
                <w:rFonts w:ascii="Calibri" w:hAnsi="Calibri" w:cs="Calibri"/>
                <w:highlight w:val="green"/>
                <w:i/>
                <w:color w:val="00a65d"/>
                <w:szCs w:val="24"/>
              </w:rPr>
            </w:r>
          </w:p>
          <w:p>
            <w:pPr>
              <w:rPr>
                <w:rFonts w:ascii="Calibri" w:hAnsi="Calibri" w:cs="Calibri"/>
                <w:highlight w:val="green"/>
                <w:i/>
                <w:color w:val="000000"/>
                <w:sz w:val="22"/>
                <w:szCs w:val="24"/>
              </w:rPr>
            </w:pPr>
            <w:r>
              <w:rPr>
                <w:rFonts w:ascii="Calibri" w:hAnsi="Calibri" w:cs="Calibri"/>
                <w:highlight w:val="green"/>
                <w:i/>
                <w:color w:val="000000"/>
                <w:sz w:val="22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 xml:space="preserve">Kolimatory wysokoenergetyczne (HE) do badań z I131 – 2 szt. (po jednej sztuce do każdego z detektorów). </w:t>
            </w:r>
            <w:r/>
          </w:p>
          <w:p>
            <w:pPr>
              <w:ind w:left="12"/>
              <w:rPr>
                <w:rFonts w:ascii="Calibri" w:hAnsi="Calibri" w:cs="Calibri"/>
                <w:strike w:val="1"/>
                <w:szCs w:val="24"/>
              </w:rPr>
            </w:pPr>
            <w:r>
              <w:rPr>
                <w:rFonts w:ascii="Calibri" w:hAnsi="Calibri" w:cs="Calibri"/>
                <w:strike w:val="1"/>
                <w:szCs w:val="24"/>
              </w:rPr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TAK</w:t>
            </w:r>
          </w:p>
          <w:p>
            <w:pPr>
              <w:ind w:right="276"/>
              <w: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red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highlight w:val="red"/>
                <w:color w:val="000000"/>
                <w:sz w:val="22"/>
                <w:szCs w:val="22"/>
              </w:rPr>
            </w:r>
          </w:p>
          <w:p>
            <w:pPr>
              <w:rPr>
                <w:rFonts w:ascii="Calibri" w:hAnsi="Calibri" w:cs="Calibri"/>
                <w:highlight w:val="red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highlight w:val="red"/>
                <w:color w:val="000000"/>
                <w:sz w:val="22"/>
                <w:szCs w:val="22"/>
              </w:rPr>
            </w:r>
          </w:p>
          <w:p>
            <w:pPr>
              <w:rPr>
                <w:rFonts w:ascii="Calibri" w:hAnsi="Calibri" w:cs="Calibri"/>
                <w:highlight w:val="red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highlight w:val="red"/>
                <w:color w:val="000000"/>
                <w:sz w:val="22"/>
                <w:szCs w:val="22"/>
              </w:rPr>
            </w:r>
          </w:p>
          <w:p>
            <w:pPr>
              <w:rPr>
                <w:rFonts w:ascii="Calibri" w:hAnsi="Calibri" w:cs="Calibri"/>
                <w:highlight w:val="red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highlight w:val="red"/>
                <w:color w:val="000000"/>
                <w:sz w:val="22"/>
                <w:szCs w:val="22"/>
              </w:rPr>
            </w:r>
          </w:p>
          <w:p>
            <w:pPr>
              <w:rPr>
                <w:rFonts w:ascii="Calibri" w:hAnsi="Calibri" w:cs="Calibri"/>
                <w:highlight w:val="green"/>
                <w:color w:val="000000"/>
                <w:sz w:val="22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 w:val="22"/>
                <w:szCs w:val="24"/>
              </w:rPr>
            </w:r>
          </w:p>
          <w:p>
            <w:pPr>
              <w:spacing/>
              <w:jc w:val="center"/>
              <w:rPr>
                <w:rFonts w:ascii="Calibri" w:hAnsi="Calibri" w:cs="Calibri"/>
                <w:highlight w:val="green"/>
                <w:color w:val="000000"/>
                <w:sz w:val="22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 w:val="22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red"/>
                <w:szCs w:val="24"/>
              </w:rPr>
            </w:pPr>
            <w:r>
              <w:rPr>
                <w:rFonts w:ascii="Calibri" w:hAnsi="Calibri" w:cs="Calibri"/>
                <w:highlight w:val="red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Czujniki sytuacji kolizyjnych blokujące ruchy głowic i stołu pacjenta.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 xml:space="preserve">zabezpieczenie pacjenta przed zetknięciem się z elementami konstrukcyjnymi podczas ich ruchu, sterowanego zarówno automatycznie jak i ręcznie. 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system dotykowy zabezpieczenia pacjenta (mata dotykowa) przed kolizją z płaszczyzną kolimatora pokrywa całą powierzchnię pola widzenia, będąc integralną i nieodłączną częścią konstrukcją kolimatora - o grubości nie przekraczającej 1,5 mm, licząc od powierzchni kolimatora .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system detekcji kolizji ciała pacjenta w podstacji bariery wiązki podczerwonej, będący częścią konstrukcyjną detektora, nie wymagający demontażu w przypadku wymiany kolimatora.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yellow"/>
                <w:szCs w:val="24"/>
              </w:rPr>
            </w:pPr>
            <w:r>
              <w:rPr>
                <w:rFonts w:ascii="Calibri" w:hAnsi="Calibri" w:cs="Calibri"/>
                <w:highlight w:val="yellow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>Automatyczny lub półautomatyczny system wymiany i  przechowywania dla kolimatorów LEHR.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</w:pPr>
            <w:r/>
          </w:p>
          <w:p>
            <w:pPr>
              <w:ind w:right="276"/>
              <w:spacing/>
              <w:jc w:val="center"/>
            </w:pPr>
            <w:r/>
          </w:p>
          <w:p>
            <w:pPr>
              <w:ind w:right="276"/>
              <w:spacing/>
              <w:jc w:val="center"/>
            </w:pPr>
            <w:r/>
          </w:p>
          <w:p>
            <w:pPr>
              <w:ind w:right="276"/>
              <w: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ind w:right="276"/>
              <w:spacing/>
              <w:jc w:val="center"/>
              <w:rPr>
                <w:rFonts w:ascii="Calibri" w:hAnsi="Calibri" w:cs="Calibri"/>
                <w:i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yellow"/>
                <w:szCs w:val="24"/>
              </w:rPr>
            </w:pPr>
            <w:r>
              <w:rPr>
                <w:rFonts w:ascii="Calibri" w:hAnsi="Calibri" w:cs="Calibri"/>
                <w:highlight w:val="yellow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>Wózek / wózki jeden dla wszystkich zestawów kolimatorów – jeśli wymagane - do przechowywania dostarczonych kolimatorów wraz z propozycją (rycina techniczna) ich lokalizacji w pomieszczeniu, w którym będzie zainstalowany aparat SPECT/CT, minimalizującą kolizyjność  ruchu szpitalnego łóżka z pacjentem i personelu.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Minimalna wysokość blatu stołu od poziomu podłogi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</w:pPr>
            <w:r>
              <w:rPr>
                <w:rFonts w:ascii="Calibri" w:hAnsi="Calibri" w:cs="Calibri"/>
                <w:szCs w:val="24"/>
              </w:rPr>
              <w:t>≤</w:t>
            </w:r>
            <w:r>
              <w:rPr>
                <w:rFonts w:ascii="Calibri" w:hAnsi="Calibri" w:eastAsia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60 cm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darkCya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darkCyan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Współczynnik pochłaniania dla ruchomego blatu stołu (dla 140 keV)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</w:pPr>
            <w:r>
              <w:rPr>
                <w:rFonts w:ascii="Calibri" w:hAnsi="Calibri" w:cs="Calibri"/>
                <w:szCs w:val="24"/>
              </w:rPr>
              <w:t>≤</w:t>
            </w:r>
            <w:r>
              <w:rPr>
                <w:rFonts w:ascii="Calibri" w:hAnsi="Calibri" w:eastAsia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10%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Uchwyty i podpórki: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uchwyt do głowy (przy badaniach mózgu)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uchwyt do rąk (przy badaniach SPECT i GSPECT  serca)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 xml:space="preserve">podpórki pod ramiona (przy badaniach WHOLE BODY), pod kolana 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paleta pediatryczna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zapasowy materac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zestaw związanych z ochroną radiologiczną pacjenta (okulary, osłona na tarczycę, fartuch ołowiany)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przedłużka do stołu pacjenta do testów fantomem Jaszczaka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uchwyt (statyw) do testów jakości QC COR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podłokietnik do iniekcji z regulowaną wysokością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zestaw związany z ochroną radiologiczną pacjenta (koc ochronny 0,25 mmPb z lekkiego materiału o wym. 80 cm x 40 cm)</w:t>
            </w:r>
            <w:r/>
          </w:p>
          <w:p>
            <w:pPr>
              <w:pStyle w:val="para94"/>
              <w:ind w:left="947"/>
              <w:tabs>
                <w:tab w:val="clear" w:pos="0" w:leader="none"/>
                <w:tab w:val="clear" w:pos="1417" w:leader="none"/>
              </w:tabs>
              <w:rPr>
                <w:highlight w:val="green"/>
                <w:i/>
                <w:sz w:val="24"/>
                <w:szCs w:val="24"/>
              </w:rPr>
            </w:pPr>
            <w:r>
              <w:rPr>
                <w:highlight w:val="green"/>
                <w:i/>
                <w:sz w:val="24"/>
                <w:szCs w:val="24"/>
              </w:rPr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cyan"/>
                <w:i/>
                <w:szCs w:val="24"/>
              </w:rPr>
            </w:pPr>
            <w:r>
              <w:rPr>
                <w:rFonts w:ascii="Calibri" w:hAnsi="Calibri" w:cs="Calibri"/>
                <w:highlight w:val="cyan"/>
                <w:i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Obszar obrazowany na scyntygramie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</w:pPr>
            <w:r>
              <w:rPr>
                <w:rFonts w:ascii="Calibri" w:hAnsi="Calibri" w:eastAsia="DejaVu Sans" w:cs="Calibri"/>
                <w:szCs w:val="24"/>
              </w:rPr>
              <w:t>≥</w:t>
            </w:r>
            <w:r>
              <w:rPr>
                <w:rFonts w:ascii="Calibri" w:hAnsi="Calibri" w:eastAsia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50 x 180 [cm], </w:t>
            </w:r>
            <w:r>
              <w:rPr>
                <w:rFonts w:ascii="Calibri" w:hAnsi="Calibri" w:eastAsia="Calibri" w:cs="Calibri"/>
                <w:szCs w:val="24"/>
              </w:rPr>
              <w:t>podać</w:t>
            </w:r>
            <w:r>
              <w:rPr>
                <w:rFonts w:ascii="Calibri" w:hAnsi="Calibri" w:eastAsia="Calibri" w:cs="Calibri"/>
              </w:rPr>
              <w:t xml:space="preserve"> wielkość obszaru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4"/>
              <w:ind w:left="37"/>
              <w:spacing/>
              <w:jc w:val="center"/>
              <w:tabs>
                <w:tab w:val="clear" w:pos="0" w:leader="none"/>
                <w:tab w:val="clear" w:pos="1417" w:leader="none"/>
              </w:tabs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 xml:space="preserve">Wykonywanie badania WHOLE BODY w trybie </w:t>
            </w:r>
            <w:r>
              <w:rPr>
                <w:rFonts w:ascii="Calibri" w:hAnsi="Calibri" w:cs="Calibri"/>
                <w:i/>
                <w:szCs w:val="24"/>
              </w:rPr>
              <w:t>body contouring</w:t>
            </w:r>
            <w:r>
              <w:rPr>
                <w:rFonts w:ascii="Calibri" w:hAnsi="Calibri" w:cs="Calibri"/>
                <w:szCs w:val="24"/>
              </w:rPr>
              <w:t xml:space="preserve"> – odległość każdego z detektorów od ciała ≤ 1,5 cm (podać). Dla zapewnienia optymalnej jakości obrazowania odległość 1,5 cm liczona jest od powierzchni kolimatora (bez ewentualnych dodatkowych nakładek) do powierzchni ciała pacjenta.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ind w:right="276"/>
              <w:spacing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podać wartość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System bramkowania sygnałem EKG, służący do wykonywania badania w trybie GATED SPECT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yellow"/>
                <w:szCs w:val="24"/>
              </w:rPr>
            </w:pPr>
            <w:r>
              <w:rPr>
                <w:rFonts w:ascii="Calibri" w:hAnsi="Calibri" w:cs="Calibri"/>
                <w:highlight w:val="yellow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System, o którym mowa w poprzednim wierszu, zintegrowany z gantry i/lub stołem pacjenta.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4"/>
              <w:ind w:left="720"/>
              <w:tabs>
                <w:tab w:val="clear" w:pos="0" w:leader="none"/>
                <w:tab w:val="clear" w:pos="1417" w:leader="none"/>
              </w:tabs>
              <w:rPr>
                <w:strike w:val="1"/>
              </w:rPr>
            </w:pPr>
            <w:r>
              <w:rPr>
                <w:strike w:val="1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yellow"/>
                <w:szCs w:val="24"/>
              </w:rPr>
            </w:pPr>
            <w:r>
              <w:rPr>
                <w:rFonts w:ascii="Calibri" w:hAnsi="Calibri" w:cs="Calibri"/>
                <w:highlight w:val="yellow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 xml:space="preserve">Wykonywanie badania SPECT w trybie </w:t>
            </w:r>
            <w:r>
              <w:rPr>
                <w:rFonts w:ascii="Calibri" w:hAnsi="Calibri" w:cs="Calibri"/>
                <w:i/>
                <w:szCs w:val="24"/>
              </w:rPr>
              <w:t>body contouring</w:t>
            </w:r>
            <w:r>
              <w:rPr>
                <w:rFonts w:ascii="Calibri" w:hAnsi="Calibri" w:cs="Calibri"/>
                <w:szCs w:val="24"/>
              </w:rPr>
              <w:t xml:space="preserve">, dla kąta wzajemnego </w:t>
            </w:r>
            <w:r>
              <w:rPr>
                <w:rFonts w:ascii="Calibri" w:hAnsi="Calibri" w:cs="Calibri"/>
                <w:b/>
                <w:szCs w:val="24"/>
              </w:rPr>
              <w:t>detektorów 180º</w:t>
            </w:r>
            <w:r>
              <w:rPr>
                <w:rFonts w:ascii="Calibri" w:hAnsi="Calibri" w:cs="Calibri"/>
                <w:szCs w:val="24"/>
              </w:rPr>
              <w:t xml:space="preserve"> - odległość każdego z detektorów od ciała ≤ 2 cm  (O</w:t>
            </w:r>
            <w:r>
              <w:rPr>
                <w:rFonts w:ascii="Calibri" w:hAnsi="Calibri" w:cs="Calibri"/>
                <w:i/>
                <w:szCs w:val="24"/>
              </w:rPr>
              <w:t>dległość detektorów od ciała liczona jest od powierzchni kolimatora do powierzchni ciała)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Wykonywanie badania  SPECT w trybie </w:t>
            </w:r>
            <w:r>
              <w:rPr>
                <w:rFonts w:ascii="Calibri" w:hAnsi="Calibri" w:cs="Calibri"/>
                <w:i/>
                <w:szCs w:val="24"/>
              </w:rPr>
              <w:t>body contouring</w:t>
            </w:r>
            <w:r>
              <w:rPr>
                <w:rFonts w:ascii="Calibri" w:hAnsi="Calibri" w:cs="Calibri"/>
                <w:szCs w:val="24"/>
              </w:rPr>
              <w:t xml:space="preserve">, dla kąta </w:t>
            </w:r>
            <w:r>
              <w:rPr>
                <w:rFonts w:ascii="Calibri" w:hAnsi="Calibri" w:cs="Calibri"/>
                <w:b/>
                <w:szCs w:val="24"/>
              </w:rPr>
              <w:t>wzajemnego detektorów 90º</w:t>
            </w:r>
            <w:r>
              <w:rPr>
                <w:rFonts w:ascii="Calibri" w:hAnsi="Calibri" w:cs="Calibri"/>
                <w:szCs w:val="24"/>
              </w:rPr>
              <w:t xml:space="preserve"> - odległość każdego z detektorów od ciała nie może przekraczać 2 cm, a detektory stykają się wzajemnie bokami </w:t>
            </w:r>
            <w:r>
              <w:rPr>
                <w:rFonts w:ascii="Calibri" w:hAnsi="Calibri" w:cs="Calibri"/>
                <w:i/>
                <w:szCs w:val="24"/>
              </w:rPr>
              <w:t>(odległość detektorów od ciała liczona jest od powierzchni kolimatora do powierzchni ciała)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Komplet właściwych wg producenta wymaganych do rutynowej kontroli jakości obrazowania:</w:t>
            </w:r>
            <w:r/>
          </w:p>
          <w:p>
            <w:pPr>
              <w:ind w:left="730"/>
            </w:pPr>
            <w:r>
              <w:rPr>
                <w:rFonts w:ascii="Calibri" w:hAnsi="Calibri" w:cs="Calibri"/>
                <w:szCs w:val="24"/>
              </w:rPr>
              <w:t>- fantomów</w:t>
            </w:r>
            <w:r/>
          </w:p>
          <w:p>
            <w:pPr>
              <w:ind w:left="730"/>
            </w:pPr>
            <w:r>
              <w:rPr>
                <w:rFonts w:ascii="Calibri" w:hAnsi="Calibri" w:cs="Calibri"/>
                <w:szCs w:val="24"/>
              </w:rPr>
              <w:t>- testowych źródeł promieniowania o aktywności wystarczającej na czas gwarancji</w:t>
            </w:r>
            <w:r/>
          </w:p>
          <w:p>
            <w:pPr>
              <w:ind w:left="730"/>
            </w:pPr>
            <w:r>
              <w:rPr>
                <w:rFonts w:ascii="Calibri" w:hAnsi="Calibri" w:cs="Calibri"/>
                <w:szCs w:val="24"/>
              </w:rPr>
              <w:t>- innych niezbędnych akcesoriów montażowych koniecznych do przeprowadzenia kontroli jakości zgodnie z obowiązującymi wymogami prawnymi</w:t>
            </w:r>
            <w:r/>
          </w:p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  <w:p>
            <w:r>
              <w:rPr>
                <w:rFonts w:ascii="Calibri" w:hAnsi="Calibri" w:cs="Calibri"/>
                <w:szCs w:val="24"/>
              </w:rPr>
              <w:t xml:space="preserve">W przypadku braku w powyższym zestawie dodatkowo  </w:t>
            </w:r>
            <w:r>
              <w:rPr>
                <w:rFonts w:ascii="Calibri" w:hAnsi="Calibri" w:cs="Calibri"/>
                <w:i/>
                <w:szCs w:val="24"/>
              </w:rPr>
              <w:t>marker punktowy Co-57.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ind w:right="276"/>
              <w:spacing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opisać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13993" w:type="dxa"/>
            <w:gridSpan w:val="5"/>
            <w:shd w:val="solid" w:color="D9D9D9" tmshd="6553856, 14277081, 16777215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360"/>
              <w:spacing/>
              <w:jc w:val="center"/>
            </w:pPr>
            <w:r>
              <w:rPr>
                <w:rFonts w:ascii="Calibri" w:hAnsi="Calibri" w:cs="Calibri"/>
                <w:b/>
              </w:rPr>
              <w:t>III Moduł CT</w:t>
            </w:r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>Akwizycja spiralna wielowarstwowa, detektor wielorzędowy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83" w:hRule="atLeast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>Moc wyjściowa generatora (znamionowa)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hAnsi="Calibri" w:eastAsia="Calibri" w:cs="Calibri"/>
                <w:szCs w:val="24"/>
              </w:rPr>
              <w:t xml:space="preserve"> 50</w:t>
            </w:r>
            <w:r>
              <w:rPr>
                <w:rFonts w:ascii="Calibri" w:hAnsi="Calibri" w:cs="Calibri"/>
                <w:szCs w:val="24"/>
              </w:rPr>
              <w:t xml:space="preserve"> kW,</w:t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Cs w:val="24"/>
              </w:rPr>
              <w:t>podać</w:t>
            </w:r>
            <w:r>
              <w:rPr>
                <w:rFonts w:ascii="Calibri" w:hAnsi="Calibri" w:eastAsia="Calibri" w:cs="Calibri"/>
              </w:rPr>
              <w:t xml:space="preserve"> moc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Basic Roman" w:hAnsi="Basic Roman" w:eastAsia="Basic Roman" w:cs="Basic Roman"/>
                <w:sz w:val="20"/>
              </w:rPr>
            </w:pPr>
            <w:r>
              <w:rPr>
                <w:rFonts w:ascii="Basic Roman" w:hAnsi="Basic Roman" w:eastAsia="Basic Roman" w:cs="Basic Roman"/>
                <w:sz w:val="20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 xml:space="preserve">Maksymalne napięcie lampy rtg używane w protokołach klinicznych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≥130 kV,</w:t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Cs w:val="24"/>
              </w:rPr>
              <w:t xml:space="preserve"> podać</w:t>
            </w:r>
            <w:r>
              <w:rPr>
                <w:rFonts w:ascii="Calibri" w:hAnsi="Calibri" w:eastAsia="Calibri" w:cs="Calibri"/>
              </w:rPr>
              <w:t xml:space="preserve"> napięcie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pacing w:val="-7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Minimalne napięcie lampy rtg używane w protokołach klinicznych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≤</w:t>
            </w:r>
            <w:r>
              <w:rPr>
                <w:rFonts w:ascii="Calibri" w:hAnsi="Calibri" w:eastAsia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80 kV,</w:t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Cs w:val="24"/>
              </w:rPr>
              <w:t>podać</w:t>
            </w:r>
            <w:r>
              <w:rPr>
                <w:rFonts w:ascii="Calibri" w:hAnsi="Calibri" w:eastAsia="Calibri" w:cs="Calibri"/>
              </w:rPr>
              <w:t xml:space="preserve"> napięcie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pacing w:val="-7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Minimalny prąd anody lampy rtg 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≤</w:t>
            </w:r>
            <w:r>
              <w:rPr>
                <w:rFonts w:ascii="Calibri" w:hAnsi="Calibri" w:eastAsia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30mA,</w:t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Cs w:val="24"/>
              </w:rPr>
              <w:t>podać</w:t>
            </w:r>
            <w:r>
              <w:rPr>
                <w:rFonts w:ascii="Calibri" w:hAnsi="Calibri" w:eastAsia="Calibri" w:cs="Calibri"/>
              </w:rPr>
              <w:t xml:space="preserve"> natężenie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Maksymalny (nominalny) prąd anody lampy rtg 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hAnsi="Calibri" w:eastAsia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300mA,</w:t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Cs w:val="24"/>
              </w:rPr>
              <w:t>podać</w:t>
            </w:r>
            <w:r>
              <w:rPr>
                <w:rFonts w:ascii="Calibri" w:hAnsi="Calibri" w:eastAsia="Calibri" w:cs="Calibri"/>
              </w:rPr>
              <w:t xml:space="preserve"> natężenie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4"/>
              <w:ind w:left="720"/>
              <w:spacing/>
              <w:jc w:val="center"/>
              <w:tabs>
                <w:tab w:val="clear" w:pos="0" w:leader="none"/>
                <w:tab w:val="clear" w:pos="1417" w:leader="none"/>
              </w:tabs>
              <w:rPr>
                <w:highlight w:val="green"/>
                <w:i/>
                <w:color w:val="000000"/>
                <w:sz w:val="24"/>
                <w:szCs w:val="24"/>
              </w:rPr>
            </w:pPr>
            <w:r>
              <w:rPr>
                <w:highlight w:val="green"/>
                <w:i/>
                <w:color w:val="000000"/>
                <w:sz w:val="24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Szybkość (nominalna) chłodzenia anody lampy rtg. [kHU/min]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hAnsi="Calibri" w:eastAsia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800 kHU/min, </w:t>
            </w:r>
            <w:r>
              <w:rPr>
                <w:rFonts w:ascii="Calibri" w:hAnsi="Calibri" w:eastAsia="Calibri" w:cs="Calibri"/>
                <w:szCs w:val="24"/>
              </w:rPr>
              <w:t>podać</w:t>
            </w:r>
            <w:r>
              <w:rPr>
                <w:rFonts w:ascii="Calibri" w:hAnsi="Calibri" w:eastAsia="Calibri" w:cs="Calibri"/>
              </w:rPr>
              <w:t xml:space="preserve"> szybkość chłodzenia</w:t>
            </w:r>
            <w:r>
              <w:rPr>
                <w:rFonts w:ascii="Calibri" w:hAnsi="Calibri" w:eastAsia="Calibri" w:cs="Calibri"/>
              </w:rPr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4"/>
              <w:ind w:left="720"/>
              <w:spacing/>
              <w:jc w:val="center"/>
              <w:tabs>
                <w:tab w:val="clear" w:pos="0" w:leader="none"/>
                <w:tab w:val="clear" w:pos="1417" w:leader="none"/>
              </w:tabs>
              <w:rPr>
                <w:highlight w:val="green"/>
                <w:i/>
                <w:color w:val="000000"/>
                <w:sz w:val="24"/>
                <w:szCs w:val="24"/>
              </w:rPr>
            </w:pPr>
            <w:r>
              <w:rPr>
                <w:highlight w:val="green"/>
                <w:i/>
                <w:color w:val="000000"/>
                <w:sz w:val="24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Pojemność cieplna (nominalna) anody lampy rtg.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i/>
                <w:spacing w:val="-4"/>
                <w:szCs w:val="24"/>
              </w:rPr>
              <w:t>≥</w:t>
            </w:r>
            <w:r>
              <w:rPr>
                <w:rFonts w:ascii="Calibri" w:hAnsi="Calibri" w:cs="Calibri"/>
                <w:szCs w:val="24"/>
              </w:rPr>
              <w:t>5 MHU,</w:t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Cs w:val="24"/>
              </w:rPr>
              <w:t>podać</w:t>
            </w:r>
            <w:r>
              <w:rPr>
                <w:rFonts w:ascii="Calibri" w:hAnsi="Calibri" w:eastAsia="Calibri" w:cs="Calibri"/>
              </w:rPr>
              <w:t xml:space="preserve"> pojemność cieplną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Modulacja prądu anody w czasie rzeczywistym, w danej projekcji - jednoczesna modulacja kątowa oraz wzdłużna </w:t>
            </w:r>
            <w:r>
              <w:rPr>
                <w:rFonts w:ascii="Calibri" w:hAnsi="Calibri" w:cs="Calibri"/>
                <w:i/>
                <w:szCs w:val="24"/>
              </w:rPr>
              <w:t xml:space="preserve">(oś z), </w:t>
            </w:r>
            <w:r>
              <w:rPr>
                <w:rFonts w:ascii="Calibri" w:hAnsi="Calibri" w:cs="Calibri"/>
                <w:szCs w:val="24"/>
              </w:rPr>
              <w:t>bez konieczności wykonywania dodatkowych ekspozycji (dopuszczona modulacja w oparciu o topogram)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pacing w:val="-7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highlight w:val="cyan"/>
                <w:szCs w:val="24"/>
              </w:rPr>
            </w:pPr>
            <w:r>
              <w:rPr>
                <w:rFonts w:ascii="Calibri" w:hAnsi="Calibri" w:cs="Calibri"/>
                <w:highlight w:val="cyan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Redukcja dawki metodą iteracyjną co najmniej 50% udokumentowane w danych producenta (podać nazwę aplikacji)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  <w:r>
              <w:rPr>
                <w:rFonts w:ascii="Calibri" w:hAnsi="Calibri" w:cs="Calibri"/>
                <w:spacing w:val="-7"/>
                <w:szCs w:val="24"/>
              </w:rPr>
            </w:r>
          </w:p>
          <w:p>
            <w:pPr>
              <w:pStyle w:val="para89"/>
              <w:spacing/>
              <w:jc w:val="center"/>
            </w:pPr>
            <w:r>
              <w:rPr>
                <w:rFonts w:ascii="Calibri" w:hAnsi="Calibri" w:cs="Calibri"/>
                <w:spacing w:val="-7"/>
                <w:szCs w:val="24"/>
              </w:rPr>
              <w:t>p</w:t>
            </w:r>
            <w:r>
              <w:rPr>
                <w:rFonts w:ascii="Calibri" w:hAnsi="Calibri" w:cs="Calibri"/>
                <w:szCs w:val="24"/>
              </w:rPr>
              <w:t>odać nazwę aplikacji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cyan"/>
                <w:szCs w:val="24"/>
              </w:rPr>
            </w:pPr>
            <w:r>
              <w:rPr>
                <w:rFonts w:ascii="Calibri" w:hAnsi="Calibri" w:cs="Calibri"/>
                <w:highlight w:val="cyan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 xml:space="preserve">Liczba submilimetrowych warstw zbieranych w czasie najkrótszego, pełnego obrotu (360º)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</w:pPr>
            <w:r>
              <w:rPr>
                <w:rFonts w:ascii="Calibri" w:hAnsi="Calibri" w:cs="Calibri"/>
                <w:szCs w:val="24"/>
              </w:rPr>
              <w:t>≥16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4"/>
              <w:ind w:left="37"/>
              <w:spacing/>
              <w:jc w:val="center"/>
              <w:tabs>
                <w:tab w:val="clear" w:pos="0" w:leader="none"/>
                <w:tab w:val="clear" w:pos="1417" w:leader="none"/>
              </w:tabs>
              <w:rPr>
                <w:strike w:val="1"/>
              </w:rPr>
            </w:pPr>
            <w:r>
              <w:rPr>
                <w:strike w:val="1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Grubość najcieńszej dostępnej warstwy do akwizycji w trybie 16-warstwowym spiralnym  ≤ 0,625mm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  <w:r>
              <w:rPr>
                <w:rFonts w:ascii="Calibri" w:hAnsi="Calibri" w:cs="Calibri"/>
                <w:spacing w:val="-7"/>
                <w:szCs w:val="24"/>
              </w:rPr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7"/>
                <w:szCs w:val="24"/>
              </w:rPr>
              <w:t>p</w:t>
            </w:r>
            <w:r>
              <w:rPr>
                <w:rFonts w:ascii="Calibri" w:hAnsi="Calibri" w:eastAsia="Calibri" w:cs="Calibri"/>
                <w:szCs w:val="24"/>
              </w:rPr>
              <w:t>odać</w:t>
            </w:r>
            <w:r>
              <w:rPr>
                <w:rFonts w:ascii="Calibri" w:hAnsi="Calibri" w:eastAsia="Calibri" w:cs="Calibri"/>
              </w:rPr>
              <w:t xml:space="preserve"> grubość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Szerokość minimalna warstwy po rekonstrukcji dostępna w akwizycji spiralnej ≤ 0,625 mm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  <w:r>
              <w:rPr>
                <w:rFonts w:ascii="Calibri" w:hAnsi="Calibri" w:cs="Calibri"/>
                <w:spacing w:val="-7"/>
                <w:szCs w:val="24"/>
              </w:rPr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7"/>
                <w:szCs w:val="24"/>
              </w:rPr>
              <w:t>p</w:t>
            </w:r>
            <w:r>
              <w:rPr>
                <w:rFonts w:ascii="Calibri" w:hAnsi="Calibri" w:eastAsia="Calibri" w:cs="Calibri"/>
                <w:szCs w:val="24"/>
              </w:rPr>
              <w:t>odać</w:t>
            </w:r>
            <w:r>
              <w:rPr>
                <w:rFonts w:ascii="Calibri" w:hAnsi="Calibri" w:eastAsia="Calibri" w:cs="Calibri"/>
              </w:rPr>
              <w:t xml:space="preserve"> szerokość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Maksymalne dostępne pole widzenia (FOV) ≥ 50cm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  <w:r>
              <w:rPr>
                <w:rFonts w:ascii="Calibri" w:hAnsi="Calibri" w:cs="Calibri"/>
                <w:spacing w:val="-7"/>
                <w:szCs w:val="24"/>
              </w:rPr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7"/>
                <w:szCs w:val="24"/>
              </w:rPr>
              <w:t>p</w:t>
            </w:r>
            <w:r>
              <w:rPr>
                <w:rFonts w:ascii="Calibri" w:hAnsi="Calibri" w:eastAsia="Calibri" w:cs="Calibri"/>
                <w:szCs w:val="24"/>
              </w:rPr>
              <w:t>odać</w:t>
            </w:r>
            <w:r>
              <w:rPr>
                <w:rFonts w:ascii="Calibri" w:hAnsi="Calibri" w:eastAsia="Calibri" w:cs="Calibri"/>
              </w:rPr>
              <w:t xml:space="preserve"> pole widzenia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Maksymalne rekonstruowane pole widzenia (FOV) stosowane do korekcji pochłaniania równe aperturze gantry oferowanego skanera CT, tj. ≥ 70 cm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  <w:r>
              <w:rPr>
                <w:rFonts w:ascii="Calibri" w:hAnsi="Calibri" w:cs="Calibri"/>
                <w:spacing w:val="-7"/>
                <w:szCs w:val="24"/>
              </w:rPr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7"/>
                <w:szCs w:val="24"/>
              </w:rPr>
              <w:t>p</w:t>
            </w:r>
            <w:r>
              <w:rPr>
                <w:rFonts w:ascii="Calibri" w:hAnsi="Calibri" w:eastAsia="Calibri" w:cs="Calibri"/>
                <w:szCs w:val="24"/>
              </w:rPr>
              <w:t>odać</w:t>
            </w:r>
            <w:r>
              <w:rPr>
                <w:rFonts w:ascii="Calibri" w:hAnsi="Calibri" w:eastAsia="Calibri" w:cs="Calibri"/>
              </w:rPr>
              <w:t xml:space="preserve"> pole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Najkrótszy czas pełnego obrotu (360º) przy wielowarstwowej akwizycji spiralnej układu lampa rtg-detektor max. 0,5 sek.  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  <w:r>
              <w:rPr>
                <w:rFonts w:ascii="Calibri" w:hAnsi="Calibri" w:cs="Calibri"/>
                <w:spacing w:val="-7"/>
                <w:szCs w:val="24"/>
              </w:rPr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7"/>
                <w:szCs w:val="24"/>
              </w:rPr>
              <w:t>p</w:t>
            </w:r>
            <w:r>
              <w:rPr>
                <w:rFonts w:ascii="Calibri" w:hAnsi="Calibri" w:eastAsia="Calibri" w:cs="Calibri"/>
                <w:szCs w:val="24"/>
              </w:rPr>
              <w:t>odać</w:t>
            </w:r>
            <w:r>
              <w:rPr>
                <w:rFonts w:ascii="Calibri" w:hAnsi="Calibri" w:eastAsia="Calibri" w:cs="Calibri"/>
              </w:rPr>
              <w:t xml:space="preserve"> czas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Maksymalny czas trwania ciągłego spiralnego skanu wielowarstwowego  (minimum dla 16 warstw)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hAnsi="Calibri" w:eastAsia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100 s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  <w:r>
              <w:rPr>
                <w:rFonts w:ascii="Calibri" w:hAnsi="Calibri" w:cs="Calibri"/>
                <w:spacing w:val="-7"/>
                <w:szCs w:val="24"/>
              </w:rPr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7"/>
                <w:szCs w:val="24"/>
              </w:rPr>
              <w:t>p</w:t>
            </w:r>
            <w:r>
              <w:rPr>
                <w:rFonts w:ascii="Calibri" w:hAnsi="Calibri" w:eastAsia="Calibri" w:cs="Calibri"/>
                <w:szCs w:val="24"/>
              </w:rPr>
              <w:t>odać</w:t>
            </w:r>
            <w:r>
              <w:rPr>
                <w:rFonts w:ascii="Calibri" w:hAnsi="Calibri" w:eastAsia="Calibri" w:cs="Calibri"/>
              </w:rPr>
              <w:t xml:space="preserve"> czas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Długość spiralnego pojedynczego skanu wielowarstwowego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hAnsi="Calibri" w:eastAsia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180 cm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  <w:r>
              <w:rPr>
                <w:rFonts w:ascii="Calibri" w:hAnsi="Calibri" w:cs="Calibri"/>
                <w:spacing w:val="-7"/>
                <w:szCs w:val="24"/>
              </w:rPr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7"/>
                <w:szCs w:val="24"/>
              </w:rPr>
              <w:t>p</w:t>
            </w:r>
            <w:r>
              <w:rPr>
                <w:rFonts w:ascii="Calibri" w:hAnsi="Calibri" w:eastAsia="Calibri" w:cs="Calibri"/>
                <w:szCs w:val="24"/>
              </w:rPr>
              <w:t>odać</w:t>
            </w:r>
            <w:r>
              <w:rPr>
                <w:rFonts w:ascii="Calibri" w:hAnsi="Calibri" w:eastAsia="Calibri" w:cs="Calibri"/>
              </w:rPr>
              <w:t xml:space="preserve"> długość skanu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Długość spiralnego pojedynczego skanu przeglądowego </w:t>
            </w:r>
            <w:r>
              <w:rPr>
                <w:rFonts w:ascii="Calibri" w:hAnsi="Calibri" w:cs="Calibri"/>
                <w:i/>
                <w:szCs w:val="24"/>
              </w:rPr>
              <w:t>(topogram )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hAnsi="Calibri" w:eastAsia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155 cm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  <w:r>
              <w:rPr>
                <w:rFonts w:ascii="Calibri" w:hAnsi="Calibri" w:cs="Calibri"/>
                <w:spacing w:val="-7"/>
                <w:szCs w:val="24"/>
              </w:rPr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7"/>
                <w:szCs w:val="24"/>
              </w:rPr>
              <w:t>p</w:t>
            </w:r>
            <w:r>
              <w:rPr>
                <w:rFonts w:ascii="Calibri" w:hAnsi="Calibri" w:eastAsia="Calibri" w:cs="Calibri"/>
                <w:szCs w:val="24"/>
              </w:rPr>
              <w:t>odać</w:t>
            </w:r>
            <w:r>
              <w:rPr>
                <w:rFonts w:ascii="Calibri" w:hAnsi="Calibri" w:eastAsia="Calibri" w:cs="Calibri"/>
              </w:rPr>
              <w:t xml:space="preserve"> długość skanu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Szerokość skanu przeglądowego ≥ 50 cm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  <w:r>
              <w:rPr>
                <w:rFonts w:ascii="Calibri" w:hAnsi="Calibri" w:cs="Calibri"/>
                <w:spacing w:val="-7"/>
                <w:szCs w:val="24"/>
              </w:rPr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7"/>
                <w:szCs w:val="24"/>
              </w:rPr>
              <w:t>p</w:t>
            </w:r>
            <w:r>
              <w:rPr>
                <w:rFonts w:ascii="Calibri" w:hAnsi="Calibri" w:eastAsia="Calibri" w:cs="Calibri"/>
                <w:szCs w:val="24"/>
              </w:rPr>
              <w:t>odać</w:t>
            </w:r>
            <w:r>
              <w:rPr>
                <w:rFonts w:ascii="Calibri" w:hAnsi="Calibri" w:eastAsia="Calibri" w:cs="Calibri"/>
              </w:rPr>
              <w:t xml:space="preserve"> szerokość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Zakres zmienności </w:t>
            </w:r>
            <w:r>
              <w:rPr>
                <w:rFonts w:ascii="Calibri" w:hAnsi="Calibri" w:cs="Calibri"/>
                <w:i/>
                <w:szCs w:val="24"/>
              </w:rPr>
              <w:t>pitch</w:t>
            </w:r>
            <w:r>
              <w:rPr>
                <w:rFonts w:ascii="Calibri" w:hAnsi="Calibri" w:cs="Calibri"/>
                <w:szCs w:val="24"/>
              </w:rPr>
              <w:t>, minimum 0,6 ÷1,5  lub większy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  <w:r>
              <w:rPr>
                <w:rFonts w:ascii="Calibri" w:hAnsi="Calibri" w:cs="Calibri"/>
                <w:spacing w:val="-7"/>
                <w:szCs w:val="24"/>
              </w:rPr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7"/>
                <w:szCs w:val="24"/>
              </w:rPr>
              <w:t>p</w:t>
            </w:r>
            <w:r>
              <w:rPr>
                <w:rFonts w:ascii="Calibri" w:hAnsi="Calibri" w:eastAsia="Calibri" w:cs="Calibri"/>
                <w:szCs w:val="24"/>
              </w:rPr>
              <w:t>odać</w:t>
            </w:r>
            <w:r>
              <w:rPr>
                <w:rFonts w:ascii="Calibri" w:hAnsi="Calibri" w:eastAsia="Calibri" w:cs="Calibri"/>
              </w:rPr>
              <w:t xml:space="preserve"> zakres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Rozdzielczość wysokokontrastowa </w:t>
            </w:r>
            <w:r>
              <w:rPr>
                <w:rFonts w:ascii="Calibri" w:hAnsi="Calibri" w:cs="Calibri"/>
                <w:i/>
                <w:szCs w:val="24"/>
              </w:rPr>
              <w:t>(przestrzenna)</w:t>
            </w:r>
            <w:r>
              <w:rPr>
                <w:rFonts w:ascii="Calibri" w:hAnsi="Calibri" w:cs="Calibri"/>
                <w:szCs w:val="24"/>
              </w:rPr>
              <w:t>, zmierzona w maksymalnym polu akwizycyjnym, przy 2 % MTF, ≥ 15,0 lp/cm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  <w:r>
              <w:rPr>
                <w:rFonts w:ascii="Calibri" w:hAnsi="Calibri" w:cs="Calibri"/>
                <w:spacing w:val="-7"/>
                <w:szCs w:val="24"/>
              </w:rPr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7"/>
                <w:szCs w:val="24"/>
              </w:rPr>
              <w:t>p</w:t>
            </w:r>
            <w:r>
              <w:rPr>
                <w:rFonts w:ascii="Calibri" w:hAnsi="Calibri" w:eastAsia="Calibri" w:cs="Calibri"/>
                <w:szCs w:val="24"/>
              </w:rPr>
              <w:t>odać</w:t>
            </w:r>
            <w:r>
              <w:rPr>
                <w:rFonts w:ascii="Calibri" w:hAnsi="Calibri" w:eastAsia="Calibri" w:cs="Calibri"/>
              </w:rPr>
              <w:t xml:space="preserve"> rozdzielczość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Rozdzielczość niskokontrastowa, mierzona dla fantomu CATHPAN o średnicy 20 cm, przy warstwie 10 mm, dla różnicy kontrastu 3 HU, przy napięciach z zakresu 130-140 kV i prądzie nie większym niż 120 mA ≤ 5 mm </w:t>
            </w:r>
            <w:r>
              <w:rPr>
                <w:rFonts w:ascii="Calibri" w:hAnsi="Calibri" w:cs="Calibri"/>
                <w:i/>
                <w:szCs w:val="24"/>
              </w:rPr>
              <w:t>(Podać parametry skanu).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  <w:r>
              <w:rPr>
                <w:rFonts w:ascii="Calibri" w:hAnsi="Calibri" w:cs="Calibri"/>
                <w:spacing w:val="-7"/>
                <w:szCs w:val="24"/>
              </w:rPr>
            </w:r>
          </w:p>
          <w:p>
            <w:pPr>
              <w:pStyle w:val="para89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7"/>
                <w:szCs w:val="24"/>
              </w:rPr>
              <w:t>p</w:t>
            </w:r>
            <w:r>
              <w:rPr>
                <w:rFonts w:ascii="Calibri" w:hAnsi="Calibri" w:eastAsia="Calibri" w:cs="Calibri"/>
                <w:szCs w:val="24"/>
              </w:rPr>
              <w:t>odać</w:t>
            </w:r>
            <w:r>
              <w:rPr>
                <w:rFonts w:ascii="Calibri" w:hAnsi="Calibri" w:eastAsia="Calibri" w:cs="Calibri"/>
              </w:rPr>
              <w:t xml:space="preserve"> rozdzielczość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highlight w:val="cyan"/>
                <w:szCs w:val="24"/>
              </w:rPr>
            </w:pPr>
            <w:r>
              <w:rPr>
                <w:rFonts w:ascii="Calibri" w:hAnsi="Calibri" w:cs="Calibri"/>
                <w:highlight w:val="cyan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Detektory gammakamery SPECT nieruchome podczas badania CT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Oprogramowanie do redukcji artefaktów od implantów metalowych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89"/>
              <w:spacing/>
              <w:jc w:val="center"/>
            </w:pPr>
            <w:r>
              <w:rPr>
                <w:rFonts w:ascii="Calibri" w:hAnsi="Calibri" w:cs="Calibri"/>
                <w:szCs w:val="24"/>
              </w:rPr>
              <w:t>TAK, podać nazwę zaoferowanej opcji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13993" w:type="dxa"/>
            <w:gridSpan w:val="5"/>
            <w:shd w:val="solid" w:color="D9D9D9" tmshd="6553856, 14277081, 16777215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360"/>
              <w:spacing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IV STACJA AKWIZYCYJNA</w:t>
            </w:r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Jeden komputer ze wspólnym interfejsem użytkownika, sterujący procesem akwizycji badań SPECT i CT, pozwalający na prezentację badań SPECT i CT na monitorze(ach) do zastosowań medycznych o przekątnej ekranu  ≥ 19”, z twardym dyskiem lub dyskami o łącznej pojemności min. 200 GB. </w:t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TAK,</w:t>
            </w:r>
          </w:p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 najmniej stacja 1-monitorowa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System akwizycyjny wraz z oprogramowaniem obsługujący moduły SPECT i CT, umożliwiający wykonywanie scyntygraficznych badań: planarnych (statycznych, dynamicznych), SPECT, bramkowanych GSPECT , WHOLE BODY oraz badań spiralnych SPECT/CT, CT i bramkowanych CT w zakresie co najmniej:</w:t>
            </w:r>
          </w:p>
          <w:p>
            <w:pPr>
              <w:numPr>
                <w:ilvl w:val="0"/>
                <w:numId w:val="12"/>
              </w:numPr>
              <w:ind w:left="510" w:hanging="397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akwizycji,</w:t>
            </w:r>
          </w:p>
          <w:p>
            <w:pPr>
              <w:numPr>
                <w:ilvl w:val="0"/>
                <w:numId w:val="12"/>
              </w:numPr>
              <w:ind w:left="510" w:hanging="397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przeglądania wyników</w:t>
            </w:r>
            <w:r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Cs w:val="24"/>
              </w:rPr>
            </w:r>
          </w:p>
          <w:p>
            <w:pPr>
              <w:numPr>
                <w:ilvl w:val="0"/>
                <w:numId w:val="12"/>
              </w:numPr>
              <w:ind w:left="510" w:hanging="397"/>
            </w:pPr>
            <w:r>
              <w:rPr>
                <w:rFonts w:ascii="Calibri" w:hAnsi="Calibri" w:cs="Calibri"/>
                <w:szCs w:val="24"/>
              </w:rPr>
              <w:t>rekonstrukcji badań (FBP, OSEM2D, OSEM3D, z narzędziami do korekcji rozproszenia i pochłaniania realizowana na stacji akwizycyjnej lub na platformach opisowych (podać miejsce wykonywania rekonstrukcji)</w:t>
            </w:r>
            <w:r>
              <w:t>.</w:t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Komunikacja sieciowa stacji akwizycyjnej (</w:t>
            </w:r>
            <w:r>
              <w:rPr>
                <w:rFonts w:ascii="Calibri" w:hAnsi="Calibri" w:eastAsia="Calibri" w:cs="Calibri"/>
                <w:szCs w:val="24"/>
              </w:rPr>
              <w:t>Gigabit Ethernet 10/100/1000BaseT</w:t>
            </w:r>
            <w:r>
              <w:rPr>
                <w:rFonts w:ascii="Calibri" w:hAnsi="Calibri" w:cs="Calibri"/>
                <w:color w:val="000000"/>
                <w:spacing w:val="-7"/>
                <w:szCs w:val="24"/>
              </w:rPr>
              <w:t xml:space="preserve"> lub więcej</w:t>
            </w:r>
            <w:r>
              <w:rPr>
                <w:rFonts w:ascii="Calibri" w:hAnsi="Calibri" w:cs="Calibri"/>
                <w:szCs w:val="24"/>
              </w:rPr>
              <w:t>) poprzez protokół DICOM z obsługą poniższych klas: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DICOM Send - wysyłanie badań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DICOM Modality Worklist - otrzymywanie listy roboczej</w:t>
            </w:r>
            <w:r/>
          </w:p>
          <w:p>
            <w:pPr>
              <w:pStyle w:val="para94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DICOM Query/Retrieve – zapytanie, pobieranie</w:t>
            </w:r>
            <w:r/>
          </w:p>
          <w:p>
            <w:r>
              <w:rPr>
                <w:rFonts w:ascii="Calibri" w:hAnsi="Calibri" w:cs="Calibri"/>
                <w:i/>
                <w:szCs w:val="24"/>
              </w:rPr>
              <w:t>(Załączyć Dicom Conformance Statement potwierdzający spełnienie powyższej funkcjonalności - dopuszczalna wersja elektroniczna i angielskojęzyczna)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</w:rPr>
            </w:pPr>
            <w:r>
              <w:rPr>
                <w:rFonts w:ascii="Calibri" w:hAnsi="Calibri" w:cs="Calibri"/>
                <w:highlight w:val="green"/>
                <w:color w:val="000000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Wysokowydajna sieciowa kolorowa drukarka laserowa.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7"/>
                <w:szCs w:val="24"/>
              </w:rPr>
              <w:t xml:space="preserve">Minimalne parametry drukarki: </w:t>
            </w:r>
            <w:r>
              <w:rPr>
                <w:rFonts w:ascii="Calibri" w:hAnsi="Calibri" w:cs="Calibri"/>
                <w:color w:val="000000"/>
                <w:spacing w:val="-7"/>
                <w:szCs w:val="24"/>
              </w:rPr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format wydruku - A4,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prędkość druku - 50 stron A4 na minutę,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czas wydruku pierwszej strony - maksymalnie 7 sek.,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obciążalność miesięczna - 200 000 stron A4 w miesiącu,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pamięć RAM zainstalowana - 512 MB,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emulacje - PCL 6, PCL 5e, PostScript 3,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interfejsy - USB 2.0, Gigabit Ethernet 10/100/1000BaseT,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obsługiwane systemy operacyjne - Windows 7/8/10,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podajniki papieru - 1 podajnik w formie zamkniętej kasety na minimum 500 arkuszy A4 80 g/m</w:t>
            </w:r>
            <w:r>
              <w:rPr>
                <w:rFonts w:ascii="Calibri" w:hAnsi="Calibri" w:eastAsia="Calibri" w:cs="Calibri"/>
                <w:szCs w:val="24"/>
                <w:vertAlign w:val="superscript"/>
              </w:rPr>
              <w:t>2</w:t>
            </w:r>
            <w:r>
              <w:rPr>
                <w:rFonts w:ascii="Calibri" w:hAnsi="Calibri" w:eastAsia="Calibri" w:cs="Calibri"/>
                <w:szCs w:val="24"/>
              </w:rPr>
              <w:t xml:space="preserve"> oraz 1 podajnik wielofunkcyjny na minimum 100 arkuszy A4 80 g/m</w:t>
            </w:r>
            <w:r>
              <w:rPr>
                <w:rFonts w:ascii="Calibri" w:hAnsi="Calibri" w:eastAsia="Calibri" w:cs="Calibri"/>
                <w:szCs w:val="24"/>
                <w:vertAlign w:val="superscript"/>
              </w:rPr>
              <w:t>2</w:t>
            </w:r>
            <w:r>
              <w:rPr>
                <w:rFonts w:ascii="Calibri" w:hAnsi="Calibri" w:eastAsia="Calibri" w:cs="Calibri"/>
                <w:szCs w:val="24"/>
              </w:rPr>
              <w:t>,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odbiornik papieru -  na minimum 500 arkuszy A4 80 g/m</w:t>
            </w:r>
            <w:r>
              <w:rPr>
                <w:rFonts w:ascii="Calibri" w:hAnsi="Calibri" w:eastAsia="Calibri" w:cs="Calibri"/>
                <w:szCs w:val="24"/>
                <w:vertAlign w:val="superscript"/>
              </w:rPr>
              <w:t>2</w:t>
            </w:r>
            <w:r>
              <w:rPr>
                <w:rFonts w:ascii="Calibri" w:hAnsi="Calibri" w:eastAsia="Calibri" w:cs="Calibri"/>
                <w:szCs w:val="24"/>
              </w:rPr>
              <w:t>,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technologia - rozdzielność bębna i tonera,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wydruk dwustronny - automatyczny,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obsługiwana gramatura - min. 60 – 220 g/m</w:t>
            </w:r>
            <w:r>
              <w:rPr>
                <w:rFonts w:ascii="Calibri" w:hAnsi="Calibri" w:eastAsia="Calibri" w:cs="Calibri"/>
                <w:szCs w:val="24"/>
                <w:vertAlign w:val="superscript"/>
              </w:rPr>
              <w:t>2</w:t>
            </w:r>
            <w:r>
              <w:rPr>
                <w:rFonts w:ascii="Calibri" w:hAnsi="Calibri" w:eastAsia="Calibri" w:cs="Calibri"/>
                <w:szCs w:val="24"/>
              </w:rPr>
              <w:t>,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waga - maks. 17 kg,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materiały eksploatacyjne jako wyposażenie standardowe drukarki ( dostarczone w komplecie w ramach oferowanej ceny jednostkowej) - drukarka powinna mieć w standardzie toner(y) startowy(e) na min. 10 000 wydruków zgodnie z normą ISO/IEC 19752. Dodatkowo powinna być w stanie obsługiwać standardowy toner(y) na min. 25 000 wydruków zgodnie z normą ISO/IEC 19752. Powinna mieć też możliwość obsługiwania tonera(ów) o niższej wydajności zgodnie z normą ISO/IEC 19752. Bębny pozwalające na wydrukowanie min. 400 000 stron.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materiały eksploatacyjne - Tonery i bębny muszą być nowe i nieużywane, pierwszej kategorii oraz wyprodukowane przez producenta oferowanych drukarek.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gwarancja - 24 miesiące</w:t>
            </w:r>
          </w:p>
          <w:p>
            <w:pPr>
              <w:numPr>
                <w:ilvl w:val="0"/>
                <w:numId w:val="7"/>
              </w:numPr>
              <w:ind w:left="360" w:hanging="36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wymagania dodatkowe - Serwis musi posiadać ISO 9001:2008 na świadczenie usług serwisowych oraz posiadać autoryzację producenta urządzenia wielofunkcyjnego - dokumenty potwierdzające dołączyć do oferty; Certyfikat ISO 9001:2008 producenta oferowanego sprzętu - dokument potwierdzający załączyć do oferty; Certyfikat ISO 14001:2004 producenta oferowanego sprzętu - dokument potwierdzający załączyć do oferty.</w:t>
            </w:r>
          </w:p>
          <w:p>
            <w:pPr>
              <w:rPr>
                <w:rFonts w:ascii="Calibri" w:hAnsi="Calibri" w:cs="Calibri"/>
                <w:highlight w:val="green"/>
                <w:i/>
                <w:strike w:val="1"/>
                <w:color w:val="000000"/>
                <w:spacing w:val="-6"/>
                <w:szCs w:val="24"/>
              </w:rPr>
            </w:pPr>
            <w:r>
              <w:rPr>
                <w:rFonts w:ascii="Calibri" w:hAnsi="Calibri" w:cs="Calibri"/>
                <w:highlight w:val="green"/>
                <w:i/>
                <w:strike w:val="1"/>
                <w:color w:val="000000"/>
                <w:spacing w:val="-6"/>
                <w:szCs w:val="24"/>
              </w:rPr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4"/>
              <w:ind w:left="37"/>
              <w:spacing/>
              <w:jc w:val="center"/>
              <w:tabs>
                <w:tab w:val="clear" w:pos="0" w:leader="none"/>
                <w:tab w:val="clear" w:pos="1417" w:leader="none"/>
              </w:tabs>
              <w:rPr>
                <w:highlight w:val="cy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highlight w:val="cyan"/>
                <w:i/>
                <w:color w:val="000000"/>
                <w:spacing w:val="-6"/>
                <w:sz w:val="24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</w:rPr>
            </w:pPr>
            <w:r>
              <w:rPr>
                <w:rFonts w:ascii="Calibri" w:hAnsi="Calibri" w:cs="Calibri"/>
                <w:highlight w:val="green"/>
                <w:color w:val="000000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Archiwizacja wybranych badań na nośniku CD lub DVD w formacie DICOM 3.0, wraz z DICOMDIR i przeglądarką badań.</w:t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4"/>
              <w:ind w:left="37"/>
              <w:spacing/>
              <w:jc w:val="center"/>
              <w:tabs>
                <w:tab w:val="clear" w:pos="0" w:leader="none"/>
                <w:tab w:val="clear" w:pos="1417" w:leader="none"/>
              </w:tabs>
              <w:rPr>
                <w:highlight w:val="cy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highlight w:val="cyan"/>
                <w:i/>
                <w:color w:val="000000"/>
                <w:spacing w:val="-6"/>
                <w:sz w:val="24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</w:rPr>
            </w:pPr>
            <w:r>
              <w:rPr>
                <w:rFonts w:ascii="Calibri" w:hAnsi="Calibri" w:cs="Calibri"/>
                <w:highlight w:val="green"/>
                <w:color w:val="000000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</w:rPr>
              <w:t xml:space="preserve">Wysokowydajny robot do nagrywania badań na płytach </w:t>
            </w:r>
            <w:r>
              <w:rPr>
                <w:rFonts w:ascii="Calibri" w:hAnsi="Calibri" w:cs="Calibri"/>
                <w:spacing w:val="-7"/>
                <w:szCs w:val="24"/>
              </w:rPr>
              <w:t xml:space="preserve">CD/DVD (z automatycznym atramentowym nadrukiem opisu) </w:t>
            </w:r>
            <w:r>
              <w:rPr>
                <w:rFonts w:ascii="Calibri" w:hAnsi="Calibri" w:cs="Calibri"/>
              </w:rPr>
              <w:t xml:space="preserve">wraz z oprogramowaniem </w:t>
            </w:r>
            <w:r>
              <w:rPr>
                <w:rFonts w:ascii="Calibri" w:hAnsi="Calibri" w:cs="Calibri"/>
                <w:spacing w:val="-7"/>
                <w:szCs w:val="24"/>
              </w:rPr>
              <w:t>oraz niezbędną bezterminową licencją na użytkowanie oprogramowania jeżeli takowa jest wymagana. Integracja i konfiguracja robota z posiadanymi przez zamawiającego systemami PACS/RIS wraz z dostawą wszelkich licencji (bezterminowych) wymaganych do integracji.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4"/>
              <w:ind w:left="37"/>
              <w:spacing/>
              <w:jc w:val="center"/>
              <w:tabs>
                <w:tab w:val="clear" w:pos="0" w:leader="none"/>
                <w:tab w:val="clear" w:pos="1417" w:leader="none"/>
              </w:tabs>
              <w:rPr>
                <w:highlight w:val="cyan"/>
                <w:i/>
                <w:sz w:val="24"/>
                <w:szCs w:val="24"/>
              </w:rPr>
            </w:pPr>
            <w:r>
              <w:rPr>
                <w:highlight w:val="cyan"/>
                <w:i/>
                <w:sz w:val="24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</w:rPr>
            </w:pPr>
            <w:r>
              <w:rPr>
                <w:rFonts w:ascii="Calibri" w:hAnsi="Calibri" w:cs="Calibri"/>
                <w:highlight w:val="green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</w:rPr>
              <w:t xml:space="preserve">Oprogramowanie do testów QC i oceny  ich wyników </w:t>
            </w:r>
            <w:r>
              <w:rPr>
                <w:rFonts w:ascii="Calibri" w:hAnsi="Calibri" w:cs="Calibri"/>
                <w:color w:val="000000"/>
                <w:spacing w:val="-7"/>
                <w:szCs w:val="24"/>
              </w:rPr>
              <w:t>wraz z niezbędnymi bezterminowymi licencjami.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green"/>
                <w:color w:val="000000"/>
              </w:rPr>
            </w:pPr>
            <w:r>
              <w:rPr>
                <w:rFonts w:ascii="Calibri" w:hAnsi="Calibri" w:cs="Calibri"/>
                <w:highlight w:val="green"/>
                <w:color w:val="000000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13993" w:type="dxa"/>
            <w:gridSpan w:val="5"/>
            <w:shd w:val="solid" w:color="D9D9D9" tmshd="6553856, 14277081, 16777215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360"/>
              <w: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 STACJE DIAGNOSTYCZNE</w:t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13993" w:type="dxa"/>
            <w:gridSpan w:val="5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Wymagania ogólne</w:t>
            </w:r>
            <w:r>
              <w:rPr>
                <w:b/>
                <w:bCs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Stanowiska lekarskie - konsola kliencka serwera aplikacyjnego, każde wyposażone w:</w:t>
            </w:r>
            <w:r/>
          </w:p>
          <w:p>
            <w:pPr>
              <w:numPr>
                <w:ilvl w:val="0"/>
                <w:numId w:val="9"/>
              </w:numPr>
              <w:ind w:left="720" w:hanging="360"/>
              <w:tabs>
                <w:tab w:val="left" w:pos="720" w:leader="none"/>
              </w:tabs>
            </w:pPr>
            <w:r>
              <w:rPr>
                <w:rFonts w:ascii="Calibri" w:hAnsi="Calibri" w:cs="Calibri"/>
                <w:szCs w:val="24"/>
              </w:rPr>
              <w:t>2 kolorowe monitory diagnostyczne, każdy o min. przekątnej 23” i rozdzielczości nie mniejszej  niż 1920 x 1200 pikseli zgodnie z aktualnie obowiązującym Rozporządzeniem Ministra Zdrowia dla stanowisk diagnostycznych (w tym wymogi dla CT)</w:t>
            </w:r>
            <w:r/>
          </w:p>
          <w:p>
            <w:pPr>
              <w:numPr>
                <w:ilvl w:val="0"/>
                <w:numId w:val="9"/>
              </w:numPr>
              <w:ind w:left="720" w:hanging="360"/>
              <w:tabs>
                <w:tab w:val="left" w:pos="720" w:leader="none"/>
              </w:tabs>
            </w:pPr>
            <w:r>
              <w:rPr>
                <w:rFonts w:ascii="Calibri" w:hAnsi="Calibri" w:cs="Calibri"/>
                <w:szCs w:val="24"/>
              </w:rPr>
              <w:t xml:space="preserve">1 monitor opisowy o min. przekątnej min. 19” i rozdzielczości nie mniejszej niż 1280 x 1024 </w:t>
            </w:r>
            <w:r>
              <w:rPr>
                <w:rFonts w:ascii="Calibri" w:hAnsi="Calibri" w:cs="Calibri"/>
                <w:spacing w:val="-7"/>
                <w:szCs w:val="24"/>
              </w:rPr>
              <w:t>pikseli</w:t>
            </w:r>
            <w:r/>
          </w:p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Komputer PC, wyposażony w: min. 8 GB RAM, dwa dyski : SSD min. 240 GB (na system operacyjny) oraz HDD min.</w:t>
            </w:r>
            <w:r>
              <w:rPr>
                <w:rFonts w:ascii="Calibri" w:hAnsi="Calibri" w:cs="Calibri"/>
                <w:color w:val="ff0000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1000 GB, napęd </w:t>
            </w:r>
            <w:r>
              <w:rPr>
                <w:rFonts w:ascii="Calibri" w:hAnsi="Calibri" w:cs="Calibri"/>
                <w:spacing w:val="-7"/>
                <w:szCs w:val="24"/>
              </w:rPr>
              <w:t xml:space="preserve">(RW) </w:t>
            </w:r>
            <w:r>
              <w:rPr>
                <w:rFonts w:ascii="Calibri" w:hAnsi="Calibri" w:cs="Calibri"/>
                <w:szCs w:val="24"/>
              </w:rPr>
              <w:t>CD/DVD, interfejs LAN (</w:t>
            </w:r>
            <w:r>
              <w:rPr>
                <w:rFonts w:ascii="Calibri" w:hAnsi="Calibri" w:eastAsia="Calibri" w:cs="Calibri"/>
                <w:szCs w:val="24"/>
              </w:rPr>
              <w:t>Gigabit Ethernet 10/100/1000BaseT</w:t>
            </w:r>
            <w:r>
              <w:rPr>
                <w:rFonts w:ascii="Calibri" w:hAnsi="Calibri" w:cs="Calibri"/>
                <w:szCs w:val="24"/>
              </w:rPr>
              <w:t xml:space="preserve"> lub więcej), system Windows lub równoważny </w:t>
            </w:r>
            <w:r>
              <w:rPr>
                <w:rFonts w:ascii="Calibri" w:hAnsi="Calibri" w:cs="Calibri"/>
                <w:spacing w:val="-7"/>
                <w:szCs w:val="24"/>
              </w:rPr>
              <w:t>wraz z wymaganą bezterminową licencją na użytkowanie.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gree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Oprogramowanie do oceny ilościowej: pakiet oprogramowania i kalibracji do oceny wychwytu radioznaczników (99m</w:t>
            </w:r>
            <w:r>
              <w:rPr>
                <w:rFonts w:ascii="Calibri" w:hAnsi="Calibri" w:eastAsia="SimSun" w:cs="Calibri"/>
                <w:szCs w:val="24"/>
              </w:rPr>
              <w:t>Tc, 111In, 123I, 131I,  67Ga</w:t>
            </w:r>
            <w:r>
              <w:rPr>
                <w:rFonts w:ascii="Calibri" w:hAnsi="Calibri" w:cs="Calibri"/>
                <w:szCs w:val="24"/>
              </w:rPr>
              <w:t xml:space="preserve">, 177Lu, 153Sm) w zmianach chorobowych lub dowolnych narządach </w:t>
            </w:r>
            <w:r>
              <w:rPr>
                <w:rFonts w:ascii="Calibri" w:hAnsi="Calibri" w:cs="Calibri"/>
                <w:color w:val="000000"/>
                <w:spacing w:val="-7"/>
                <w:szCs w:val="24"/>
              </w:rPr>
              <w:t>wraz z bezterminową licencją na użytkowanie</w:t>
            </w:r>
            <w:r>
              <w:rPr>
                <w:rFonts w:ascii="Calibri" w:hAnsi="Calibri" w:cs="Calibri"/>
                <w:szCs w:val="24"/>
              </w:rPr>
              <w:t>.  W rezultacie uzyskanie wartości SPECT SUV (w mBq/ml i/lub SUV).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5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Automatyczny/ręczny import badań poprzednich z archiwum PACS/RIS  (podać typ importu)</w:t>
            </w:r>
            <w:r>
              <w:rPr>
                <w:rFonts w:ascii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szCs w:val="24"/>
              </w:rPr>
              <w:t>wraz z bezterminową licencją użytkowania na niezbędne oprogramowanie jeśli takowe jest wymagane.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48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ind w:right="48"/>
              <w:spacing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podać typ importu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4"/>
              <w:ind w:left="37"/>
              <w:spacing/>
              <w:jc w:val="center"/>
              <w:tabs>
                <w:tab w:val="clear" w:pos="0" w:leader="none"/>
                <w:tab w:val="clear" w:pos="1417" w:leader="none"/>
              </w:tabs>
              <w:rPr>
                <w:highlight w:val="gree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highlight w:val="green"/>
                <w:i/>
                <w:color w:val="000000"/>
                <w:spacing w:val="-6"/>
                <w:sz w:val="24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ind w:left="1428"/>
              <w:spacing/>
              <w:contextualSpacing/>
              <w:jc w:val="right"/>
              <w:rPr>
                <w:rFonts w:ascii="Calibri" w:hAnsi="Calibri" w:cs="Calibri"/>
                <w:highlight w:val="green"/>
                <w:strike w:val="1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strike w:val="1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Interfejs sieciowy zgodny z DICOM 3.0 i następującymi klasami serwisowymi: </w:t>
              <w:br w:type="textWrapping"/>
              <w:t xml:space="preserve">- Send / Receive  </w:t>
              <w:br w:type="textWrapping"/>
              <w:t xml:space="preserve">- Basic Print </w:t>
              <w:br w:type="textWrapping"/>
              <w:t xml:space="preserve">- Query / Retrieve </w:t>
              <w:br w:type="textWrapping"/>
              <w:t>- Storage Commitment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 w:line="264" w:lineRule="auto"/>
              <w:jc w:val="center"/>
              <w:rPr>
                <w:rFonts w:ascii="Calibri" w:hAnsi="Calibri" w:cs="Calibri"/>
                <w:color w:val="000000"/>
                <w:spacing w:val="-10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pacing w:val="-10"/>
                <w:szCs w:val="24"/>
                <w:lang w:val="en-us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pacing w:val="-10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pacing w:val="-10"/>
                <w:szCs w:val="24"/>
                <w:lang w:val="en-us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13993" w:type="dxa"/>
            <w:gridSpan w:val="5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Podstawowe oprogramowanie kliniczne</w:t>
            </w:r>
            <w:r>
              <w:rPr>
                <w:b/>
                <w:bCs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 xml:space="preserve">Zestaw predefiniowanych układów wyświetlania (layoutów), skojarzony z zastosowaną aplikacją, np. onkologiczna/kardiologiczna. </w:t>
            </w:r>
            <w:r/>
          </w:p>
          <w:p>
            <w:r>
              <w:rPr>
                <w:rFonts w:ascii="Calibri" w:hAnsi="Calibri" w:cs="Calibri"/>
                <w:szCs w:val="24"/>
              </w:rPr>
              <w:t>Możliwość indywidualnego dopasowania układów wyświetlania przez każdego użytkownika, z możliwością zapamiętania.</w:t>
            </w:r>
            <w:r/>
          </w:p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Automatyczne dopasowania układów wyświetlania do ilości oraz typu dołączonych do stacji lekarskiej monitorów diagnostycznych.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opisać</w:t>
            </w:r>
            <w:r>
              <w:rPr>
                <w:rFonts w:ascii="Calibri" w:hAnsi="Calibri" w:eastAsia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Jednoczesna prezentacja i odczyt, z synchronizacją przestrzenną, danych obrazowych SPECT, CT, MR, PET – przynajmniej 2 modalności jednoczasowo.</w:t>
            </w:r>
            <w:r/>
          </w:p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Automatyczna synchronizacja wyświetlanych serii badania niezależna od grubości warstw.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opisać</w:t>
            </w:r>
            <w:r>
              <w:rPr>
                <w:rFonts w:ascii="Calibri" w:hAnsi="Calibri" w:eastAsia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Cs w:val="24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36" w:right="432"/>
              <w:spacing w:line="264" w:lineRule="auto"/>
            </w:pPr>
            <w:r>
              <w:rPr>
                <w:rFonts w:ascii="Calibri" w:hAnsi="Calibri" w:cs="Calibri"/>
                <w:szCs w:val="24"/>
              </w:rPr>
              <w:t>Możliwość jednoczesnej edycji badań min. 4 różnych pacjentów. Przełączanie pomiędzy badaniami różnych pacjentów nie wymagające zamykania załadowanych badań.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opisać</w:t>
            </w:r>
            <w:r>
              <w:rPr>
                <w:rFonts w:ascii="Calibri" w:hAnsi="Calibri" w:eastAsia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Pomiary geometryczne (długości, kątów, powierzchni)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opisać</w:t>
            </w:r>
            <w:r>
              <w:rPr>
                <w:rFonts w:ascii="Calibri" w:hAnsi="Calibri" w:eastAsia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Elementy manipulacji obrazem (m. in. przedstawienie w negatywie, obrót obrazu i odbicia lustrzane, powiększenie obrazu, dodawanie obrazów).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opisać</w:t>
            </w:r>
            <w:r>
              <w:rPr>
                <w:rFonts w:ascii="Calibri" w:hAnsi="Calibri" w:eastAsia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Prezentacje </w:t>
            </w:r>
            <w:r>
              <w:rPr>
                <w:rFonts w:ascii="Calibri" w:hAnsi="Calibri" w:cs="Calibri"/>
                <w:i/>
                <w:szCs w:val="24"/>
              </w:rPr>
              <w:t>Cine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Automatyczne i/lub ręczne usuwanie struktur kostnych z pozostawieniem wyłącznie zakontrastowanego drzewa naczyniowego w badaniach CT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opisać</w:t>
            </w:r>
            <w:r>
              <w:rPr>
                <w:rFonts w:ascii="Calibri" w:hAnsi="Calibri" w:eastAsia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</w:pPr>
            <w:r>
              <w:rPr>
                <w:rFonts w:ascii="Calibri" w:hAnsi="Calibri" w:cs="Calibri"/>
                <w:szCs w:val="24"/>
              </w:rPr>
              <w:t>Automatyczne i/lub ręczne usuwania obrazu stołu z obrazów CT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opisać</w:t>
            </w:r>
            <w:r>
              <w:rPr>
                <w:rFonts w:ascii="Calibri" w:hAnsi="Calibri" w:eastAsia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4"/>
              <w:ind w:left="720"/>
              <w:spacing/>
              <w:jc w:val="center"/>
              <w:tabs>
                <w:tab w:val="clear" w:pos="0" w:leader="none"/>
                <w:tab w:val="clear" w:pos="1417" w:leader="none"/>
              </w:tabs>
              <w:rPr>
                <w:highlight w:val="gree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highlight w:val="green"/>
                <w:i/>
                <w:color w:val="000000"/>
                <w:spacing w:val="-6"/>
                <w:sz w:val="24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30"/>
            </w:pPr>
            <w:r>
              <w:rPr>
                <w:rFonts w:ascii="Calibri" w:hAnsi="Calibri" w:cs="Calibri"/>
                <w:szCs w:val="24"/>
              </w:rPr>
              <w:t xml:space="preserve">Oprogramowanie zawierające zaawansowane funkcje do oceny w 3D, takie jak: </w:t>
            </w:r>
            <w:r/>
          </w:p>
          <w:p>
            <w:pPr>
              <w:ind w:left="30"/>
            </w:pPr>
            <w:r/>
          </w:p>
          <w:p>
            <w:pPr>
              <w:numPr>
                <w:ilvl w:val="0"/>
                <w:numId w:val="8"/>
              </w:numPr>
              <w:ind w:left="750" w:hanging="360"/>
              <w:tabs>
                <w:tab w:val="left" w:pos="750" w:leader="none"/>
              </w:tabs>
            </w:pPr>
            <w:r>
              <w:rPr>
                <w:rFonts w:ascii="Calibri" w:hAnsi="Calibri" w:cs="Calibri"/>
                <w:szCs w:val="24"/>
              </w:rPr>
              <w:t>interaktywne wyświetlanie obrazu w 3D</w:t>
            </w:r>
            <w:r>
              <w:t>,</w:t>
            </w:r>
          </w:p>
          <w:p>
            <w:pPr>
              <w:numPr>
                <w:ilvl w:val="0"/>
                <w:numId w:val="8"/>
              </w:numPr>
              <w:ind w:left="750" w:hanging="360"/>
              <w:tabs>
                <w:tab w:val="left" w:pos="750" w:leader="none"/>
              </w:tabs>
            </w:pPr>
            <w:r>
              <w:rPr>
                <w:rFonts w:ascii="Calibri" w:hAnsi="Calibri" w:cs="Calibri"/>
                <w:szCs w:val="24"/>
              </w:rPr>
              <w:t>interaktywna rotacja i przesuwanie obrazu w 3D</w:t>
            </w:r>
            <w:r>
              <w:t>,</w:t>
            </w:r>
          </w:p>
          <w:p>
            <w:pPr>
              <w:numPr>
                <w:ilvl w:val="0"/>
                <w:numId w:val="8"/>
              </w:numPr>
              <w:ind w:left="750" w:hanging="360"/>
              <w:tabs>
                <w:tab w:val="left" w:pos="750" w:leader="none"/>
              </w:tabs>
            </w:pPr>
            <w:r>
              <w:rPr>
                <w:rFonts w:ascii="Calibri" w:hAnsi="Calibri" w:cs="Calibri"/>
                <w:szCs w:val="24"/>
              </w:rPr>
              <w:t>narzędzia dla rejonów zainteresowania ROI, VOI</w:t>
            </w:r>
            <w:r>
              <w:t>,</w:t>
            </w:r>
          </w:p>
          <w:p>
            <w:pPr>
              <w:numPr>
                <w:ilvl w:val="0"/>
                <w:numId w:val="8"/>
              </w:numPr>
              <w:ind w:left="750" w:hanging="360"/>
              <w:tabs>
                <w:tab w:val="left" w:pos="750" w:leader="none"/>
              </w:tabs>
            </w:pPr>
            <w:r>
              <w:rPr>
                <w:rFonts w:ascii="Calibri" w:hAnsi="Calibri" w:cs="Calibri"/>
                <w:szCs w:val="24"/>
              </w:rPr>
              <w:t>wizualizacja i wyodrębnianie wielu odrębnych obszarów anatomicznych</w:t>
            </w:r>
            <w:r>
              <w:t>,</w:t>
            </w:r>
          </w:p>
          <w:p>
            <w:pPr>
              <w:numPr>
                <w:ilvl w:val="0"/>
                <w:numId w:val="8"/>
              </w:numPr>
              <w:ind w:left="750" w:hanging="360"/>
              <w:tabs>
                <w:tab w:val="left" w:pos="750" w:leader="none"/>
              </w:tabs>
            </w:pPr>
            <w:r>
              <w:rPr>
                <w:rFonts w:ascii="Calibri" w:hAnsi="Calibri" w:cs="Calibri"/>
                <w:spacing w:val="-4"/>
                <w:szCs w:val="24"/>
              </w:rPr>
              <w:t>fuzja zarejestrowanych obrazów, w tym różnych modalności (wymagane modalności SPECT, CT, MR, PET) – co najmniej 2 modalności jednocześnie</w:t>
            </w:r>
            <w:r>
              <w:t>,</w:t>
            </w:r>
          </w:p>
          <w:p>
            <w:pPr>
              <w:numPr>
                <w:ilvl w:val="0"/>
                <w:numId w:val="8"/>
              </w:numPr>
              <w:ind w:left="750" w:hanging="360"/>
              <w:tabs>
                <w:tab w:val="left" w:pos="750" w:leader="none"/>
              </w:tabs>
            </w:pPr>
            <w:r>
              <w:rPr>
                <w:rFonts w:ascii="Calibri" w:hAnsi="Calibri" w:cs="Calibri"/>
                <w:spacing w:val="-4"/>
                <w:szCs w:val="24"/>
              </w:rPr>
              <w:t>maskowanie wolumenów zainteresowania</w:t>
            </w:r>
            <w:r>
              <w:t>,</w:t>
            </w:r>
          </w:p>
          <w:p>
            <w:pPr>
              <w:ind w:left="360" w:hanging="360"/>
            </w:pPr>
            <w:r/>
          </w:p>
          <w:p>
            <w:pPr>
              <w:ind w:left="57"/>
            </w:pPr>
            <w:r>
              <w:rPr>
                <w:rFonts w:ascii="Calibri" w:hAnsi="Calibri" w:cs="Calibri"/>
                <w:spacing w:val="-7"/>
                <w:szCs w:val="24"/>
              </w:rPr>
              <w:t>wraz z niezbędnymi bezterminowymi licencjami na użytkowanie.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opisać</w:t>
            </w:r>
            <w:r>
              <w:rPr>
                <w:rFonts w:ascii="Calibri" w:hAnsi="Calibri" w:eastAsia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cya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cyan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30"/>
            </w:pPr>
            <w:r>
              <w:rPr>
                <w:rFonts w:ascii="Calibri" w:hAnsi="Calibri" w:cs="Calibri"/>
                <w:szCs w:val="24"/>
              </w:rPr>
              <w:t xml:space="preserve">Rekonstrukcje MIP, VRT. Predefiniowana paleta ustawień dla rekonstrukcji VRT uwzględniająca typy badań, obszary anatomiczne </w:t>
            </w:r>
            <w:r>
              <w:rPr>
                <w:rFonts w:ascii="Calibri" w:hAnsi="Calibri" w:cs="Calibri"/>
                <w:color w:val="000000"/>
                <w:spacing w:val="-7"/>
                <w:szCs w:val="24"/>
              </w:rPr>
              <w:t>wraz z niezbędną bezterminową licencją na wymagane oprogramowanie.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30"/>
            </w:pPr>
            <w:r>
              <w:rPr>
                <w:rFonts w:ascii="Calibri" w:hAnsi="Calibri" w:cs="Calibri"/>
                <w:szCs w:val="24"/>
              </w:rPr>
              <w:t xml:space="preserve">Reformatowanie wielopłaszczyznowe (MPR), rekonstrukcje wzdłuż dowolnej prostej (równoległe lub promieniste) lub krzywej </w:t>
            </w:r>
            <w:r>
              <w:rPr>
                <w:rFonts w:ascii="Calibri" w:hAnsi="Calibri" w:cs="Calibri"/>
                <w:color w:val="000000"/>
                <w:spacing w:val="-7"/>
                <w:szCs w:val="24"/>
              </w:rPr>
              <w:t>wraz z niezbędną bezterminową licencją na wymagane oprogramowanie.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30"/>
            </w:pPr>
            <w:r>
              <w:rPr>
                <w:rFonts w:ascii="Calibri" w:hAnsi="Calibri" w:cs="Calibri"/>
                <w:szCs w:val="24"/>
              </w:rPr>
              <w:t>Oprogramowanie pozwalające na skrócenie do 50% podanej dawki radiofarmaceutyku lub czasu trwania badania całego ciała i statycznych badań planarnych oraz SPECT przy zachowaniu porównywalnych parametrów jakościowych badania (podać nazwę oprogramowania) wraz z bezterminową licencją na użytkowanie.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opisać</w:t>
            </w:r>
            <w:r>
              <w:rPr>
                <w:rFonts w:ascii="Calibri" w:hAnsi="Calibri" w:eastAsia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Pakiet oprogramowania do badań SPECT, SPECT/CT, realizujący poniższe funkcjonalności.</w:t>
            </w:r>
            <w:r/>
          </w:p>
          <w:p>
            <w:pPr>
              <w:pStyle w:val="para95"/>
              <w:ind w:left="360"/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Przetwarzanie badań SPECT, SPECT/CT poszczególnych organów (Organ Based Processing):</w:t>
            </w:r>
            <w:r/>
          </w:p>
          <w:p>
            <w:pPr>
              <w:pStyle w:val="para91"/>
              <w:numPr>
                <w:ilvl w:val="0"/>
                <w:numId w:val="2"/>
              </w:numPr>
              <w:ind w:left="1089" w:hanging="360"/>
              <w:contextualSpacing/>
              <w:tabs>
                <w:tab w:val="left" w:pos="1089" w:leader="none"/>
              </w:tabs>
            </w:pPr>
            <w:r>
              <w:rPr>
                <w:rFonts w:ascii="Calibri" w:hAnsi="Calibri" w:cs="Calibri"/>
                <w:szCs w:val="24"/>
                <w:lang w:val="en-us"/>
              </w:rPr>
              <w:t>planarne analizy kardiologiczne (Cardiac Planar Gated Blood Pool),</w:t>
            </w:r>
            <w:r/>
          </w:p>
          <w:p>
            <w:pPr>
              <w:pStyle w:val="para91"/>
              <w:numPr>
                <w:ilvl w:val="0"/>
                <w:numId w:val="2"/>
              </w:numPr>
              <w:ind w:left="1089" w:hanging="360"/>
              <w:contextualSpacing/>
              <w:tabs>
                <w:tab w:val="left" w:pos="1089" w:leader="none"/>
              </w:tabs>
            </w:pPr>
            <w:r>
              <w:rPr>
                <w:rFonts w:ascii="Calibri" w:hAnsi="Calibri" w:cs="Calibri"/>
                <w:szCs w:val="24"/>
              </w:rPr>
              <w:t>analizy przecieków (Shunt Analysis),</w:t>
            </w:r>
            <w:r/>
          </w:p>
          <w:p>
            <w:pPr>
              <w:pStyle w:val="para91"/>
              <w:numPr>
                <w:ilvl w:val="0"/>
                <w:numId w:val="2"/>
              </w:numPr>
              <w:ind w:left="1089" w:hanging="360"/>
              <w:contextualSpacing/>
              <w:tabs>
                <w:tab w:val="left" w:pos="1089" w:leader="none"/>
              </w:tabs>
            </w:pPr>
            <w:r>
              <w:rPr>
                <w:rFonts w:ascii="Calibri" w:hAnsi="Calibri" w:cs="Calibri"/>
                <w:szCs w:val="24"/>
              </w:rPr>
              <w:t>analizy planarne płuc,</w:t>
            </w:r>
            <w:r/>
          </w:p>
          <w:p>
            <w:pPr>
              <w:pStyle w:val="para91"/>
              <w:numPr>
                <w:ilvl w:val="0"/>
                <w:numId w:val="2"/>
              </w:numPr>
              <w:ind w:left="1089" w:hanging="360"/>
              <w:contextualSpacing/>
              <w:tabs>
                <w:tab w:val="left" w:pos="1089" w:leader="none"/>
              </w:tabs>
            </w:pPr>
            <w:r>
              <w:rPr>
                <w:rFonts w:ascii="Calibri" w:hAnsi="Calibri" w:cs="Calibri"/>
                <w:szCs w:val="24"/>
              </w:rPr>
              <w:t>analizy tarczycy</w:t>
            </w:r>
            <w:r/>
          </w:p>
          <w:p>
            <w:pPr>
              <w:pStyle w:val="para91"/>
              <w:numPr>
                <w:ilvl w:val="0"/>
                <w:numId w:val="2"/>
              </w:numPr>
              <w:ind w:left="1089" w:hanging="360"/>
              <w:contextualSpacing/>
              <w:tabs>
                <w:tab w:val="left" w:pos="1089" w:leader="none"/>
              </w:tabs>
            </w:pPr>
            <w:r>
              <w:rPr>
                <w:rFonts w:ascii="Calibri" w:hAnsi="Calibri" w:cs="Calibri"/>
                <w:szCs w:val="24"/>
              </w:rPr>
              <w:t>analizy nerek,</w:t>
            </w:r>
            <w:r/>
          </w:p>
          <w:p>
            <w:pPr>
              <w:pStyle w:val="para91"/>
              <w:numPr>
                <w:ilvl w:val="0"/>
                <w:numId w:val="2"/>
              </w:numPr>
              <w:ind w:left="1089" w:hanging="360"/>
              <w:contextualSpacing/>
              <w:tabs>
                <w:tab w:val="left" w:pos="1089" w:leader="none"/>
              </w:tabs>
            </w:pPr>
            <w:r>
              <w:rPr>
                <w:rFonts w:ascii="Calibri" w:hAnsi="Calibri" w:cs="Calibri"/>
                <w:szCs w:val="24"/>
              </w:rPr>
              <w:t xml:space="preserve">analiza opróżniania żołądka,   </w:t>
            </w:r>
            <w:r/>
          </w:p>
          <w:p>
            <w:pPr>
              <w:pStyle w:val="para91"/>
              <w:numPr>
                <w:ilvl w:val="0"/>
                <w:numId w:val="2"/>
              </w:numPr>
              <w:ind w:left="1089" w:hanging="360"/>
              <w:contextualSpacing/>
              <w:tabs>
                <w:tab w:val="left" w:pos="1089" w:leader="none"/>
              </w:tabs>
            </w:pPr>
            <w:r>
              <w:rPr>
                <w:rFonts w:ascii="Calibri" w:hAnsi="Calibri" w:cs="Calibri"/>
                <w:szCs w:val="24"/>
              </w:rPr>
              <w:t>analizy wątrobowo-żółciowe</w:t>
            </w:r>
            <w:r/>
          </w:p>
          <w:p>
            <w:pPr>
              <w:pStyle w:val="para91"/>
              <w:numPr>
                <w:ilvl w:val="0"/>
                <w:numId w:val="2"/>
              </w:numPr>
              <w:ind w:left="1089" w:hanging="360"/>
              <w:contextualSpacing/>
              <w:tabs>
                <w:tab w:val="left" w:pos="1089" w:leader="none"/>
              </w:tabs>
            </w:pPr>
            <w:r>
              <w:rPr>
                <w:rFonts w:ascii="Calibri" w:hAnsi="Calibri" w:cs="Calibri"/>
                <w:szCs w:val="24"/>
              </w:rPr>
              <w:t>analiza objętościowa</w:t>
            </w:r>
            <w:r/>
          </w:p>
          <w:p>
            <w:pPr>
              <w:pStyle w:val="para91"/>
              <w:numPr>
                <w:ilvl w:val="0"/>
                <w:numId w:val="2"/>
              </w:numPr>
              <w:ind w:left="1089" w:hanging="360"/>
              <w:contextualSpacing/>
              <w:tabs>
                <w:tab w:val="left" w:pos="1089" w:leader="none"/>
              </w:tabs>
            </w:pPr>
            <w:r>
              <w:rPr>
                <w:rFonts w:ascii="Calibri" w:hAnsi="Calibri" w:cs="Calibri"/>
                <w:szCs w:val="24"/>
              </w:rPr>
              <w:t>analiza badania układu receptorowego dopaminergicznego umożliwiająca kwantyfikację chorych.</w:t>
            </w:r>
            <w:r/>
          </w:p>
          <w:p>
            <w:pPr>
              <w:ind w:left="30"/>
              <w:rPr>
                <w:rFonts w:ascii="Calibri" w:hAnsi="Calibri" w:cs="Calibri"/>
                <w:strike w:val="1"/>
                <w:szCs w:val="24"/>
              </w:rPr>
            </w:pPr>
            <w:r>
              <w:rPr>
                <w:rFonts w:ascii="Calibri" w:hAnsi="Calibri" w:cs="Calibri"/>
                <w:strike w:val="1"/>
                <w:szCs w:val="24"/>
              </w:rPr>
            </w:r>
          </w:p>
          <w:p>
            <w:pPr>
              <w:pStyle w:val="para94"/>
              <w:ind w:left="0" w:firstLine="5"/>
              <w:tabs>
                <w:tab w:val="clear" w:pos="0" w:leader="none"/>
                <w:tab w:val="clear" w:pos="1417" w:leader="none"/>
              </w:tabs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Bezterminowa licencja dla jednoczesnych użytkowników równych liczbie zadeklarowanych stanowisk lekarskich (pkt. 7 specyfikacji ocenianych parametrów techniczno-użytkowych - załącznik 2b do oferty).</w:t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opisać</w:t>
            </w:r>
            <w:r>
              <w:rPr>
                <w:rFonts w:ascii="Calibri" w:hAnsi="Calibri" w:eastAsia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4"/>
              <w:ind w:left="37"/>
              <w:spacing/>
              <w:jc w:val="center"/>
              <w:tabs>
                <w:tab w:val="clear" w:pos="0" w:leader="none"/>
                <w:tab w:val="clear" w:pos="1417" w:leader="none"/>
              </w:tabs>
            </w:pPr>
            <w:r/>
          </w:p>
          <w:p>
            <w:pPr>
              <w:pStyle w:val="para94"/>
              <w:ind w:left="37"/>
              <w:spacing/>
              <w:jc w:val="center"/>
              <w:tabs>
                <w:tab w:val="clear" w:pos="0" w:leader="none"/>
                <w:tab w:val="clear" w:pos="1417" w:leader="none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</w:r>
          </w:p>
          <w:p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</w:r>
          </w:p>
          <w:p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</w:r>
          </w:p>
          <w:p>
            <w:pPr>
              <w:pStyle w:val="para94"/>
              <w:spacing/>
              <w:jc w:val="center"/>
              <w:tabs>
                <w:tab w:val="clear" w:pos="0" w:leader="none"/>
                <w:tab w:val="clear" w:pos="1417" w:leader="none"/>
              </w:tabs>
            </w:pPr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30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Liczba stanowisk lekarskich (stacji opisowych) spełniających łączne wymagania z pkt. 75-90</w:t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eastAsia="Calibri" w:cs="Calibri"/>
                <w:szCs w:val="24"/>
              </w:rPr>
            </w:pPr>
            <w:r>
              <w:rPr>
                <w:rFonts w:ascii="Calibri" w:hAnsi="Calibri" w:eastAsia="Calibri" w:cs="Calibri"/>
                <w:szCs w:val="24"/>
              </w:rPr>
              <w:t>Nie mniej niż 2 stanowiska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eastAsia="Calibri" w:cs="Calibri"/>
                <w:color w:val="000000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13993" w:type="dxa"/>
            <w:gridSpan w:val="5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Zaawansowane oprogramowanie kliniczne</w:t>
            </w:r>
            <w:r>
              <w:rPr>
                <w:b/>
                <w:bCs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Oprogramowanie do automatycznej segmentacji i prezentacji w 3D zmian w narządach miąższowych, w tym w wątrobie oraz węzłach chłonnych wraz z automatycznym pomiarem zmiany zgodnie z RECIST 1.1, WHO i jej objętości.</w:t>
            </w:r>
            <w:r/>
          </w:p>
          <w:p>
            <w:pPr>
              <w:ind w:left="30"/>
            </w:pPr>
            <w:r>
              <w:rPr>
                <w:rFonts w:ascii="Calibri" w:hAnsi="Calibri" w:cs="Calibri"/>
                <w:szCs w:val="24"/>
              </w:rPr>
              <w:t>Licencja bezterminowa dla 1 jednoczesnego użytkownika.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color w:val="000000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Cs w:val="24"/>
              </w:rPr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opisać</w:t>
            </w:r>
            <w:r>
              <w:rPr>
                <w:rFonts w:ascii="Calibri" w:hAnsi="Calibri" w:eastAsia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4"/>
              <w:ind w:left="37"/>
              <w:spacing/>
              <w:jc w:val="center"/>
              <w:tabs>
                <w:tab w:val="clear" w:pos="0" w:leader="none"/>
                <w:tab w:val="clear" w:pos="1417" w:leader="none"/>
              </w:tabs>
            </w:pPr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szCs w:val="24"/>
              </w:rPr>
            </w:pPr>
            <w:r>
              <w:rPr>
                <w:rFonts w:ascii="Calibri" w:hAnsi="Calibri" w:cs="Calibri"/>
                <w:highlight w:val="green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Możliwość załadowania i porównania co najmniej 4 zestawów danych tego samego pacjenta (np.: w celu porównania badań wykonanych w tym samym dniu  w różnych fazach lub porównanie badań wykonanych w rożnym czasie) z automatyczną synchronizacją przestrzenną oraz możliwością powiązania i oceny zmian tych samych obszarów anatomicznych w czasie.</w:t>
            </w:r>
            <w:r/>
          </w:p>
          <w:p>
            <w:pPr>
              <w:ind w:left="30"/>
            </w:pPr>
            <w:r>
              <w:rPr>
                <w:rFonts w:ascii="Calibri" w:hAnsi="Calibri" w:cs="Calibri"/>
                <w:szCs w:val="24"/>
              </w:rPr>
              <w:t>Licencja bezterminowa dla 1 jednoczesnego użytkownika.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opisać</w:t>
            </w:r>
            <w:r>
              <w:rPr>
                <w:rFonts w:ascii="Calibri" w:hAnsi="Calibri" w:eastAsia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4141" w:hRule="atLeast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Zaawansowany pakiet kardiologiczny do analizy badań SPECT oraz SPECT/CT, (typu Cedars-Sinai lub Corridor 4DM) zawierający:</w:t>
            </w:r>
            <w:r/>
          </w:p>
          <w:p>
            <w:pPr>
              <w:pStyle w:val="para91"/>
              <w:numPr>
                <w:ilvl w:val="0"/>
                <w:numId w:val="3"/>
              </w:numPr>
              <w:ind w:left="1089" w:hanging="360"/>
              <w:contextualSpacing/>
              <w:tabs>
                <w:tab w:val="left" w:pos="1089" w:leader="none"/>
              </w:tabs>
            </w:pPr>
            <w:r>
              <w:rPr>
                <w:rFonts w:ascii="Calibri" w:hAnsi="Calibri" w:cs="Calibri"/>
                <w:szCs w:val="24"/>
              </w:rPr>
              <w:t xml:space="preserve">możliwość oceny perfuzji mięśnia sercowego w spoczynku, po próbie wysiłkowej, jego żywotności oraz </w:t>
            </w:r>
            <w:r>
              <w:rPr>
                <w:rFonts w:ascii="Calibri" w:hAnsi="Calibri" w:eastAsia="Calibri" w:cs="Calibri"/>
                <w:szCs w:val="24"/>
              </w:rPr>
              <w:t>zestawienia i porównania</w:t>
            </w:r>
            <w:r>
              <w:rPr>
                <w:rFonts w:ascii="Calibri" w:hAnsi="Calibri" w:eastAsia="Calibri" w:cs="Calibri"/>
              </w:rPr>
              <w:t xml:space="preserve"> tych badań</w:t>
            </w:r>
            <w:r>
              <w:t>,</w:t>
            </w:r>
            <w:r>
              <w:rPr>
                <w:rFonts w:ascii="Calibri" w:hAnsi="Calibri" w:eastAsia="Calibri" w:cs="Calibri"/>
              </w:rPr>
              <w:t xml:space="preserve"> w tym z załączoną populacyjną bazą danych,</w:t>
            </w:r>
            <w:r/>
          </w:p>
          <w:p>
            <w:pPr>
              <w:pStyle w:val="para91"/>
              <w:numPr>
                <w:ilvl w:val="0"/>
                <w:numId w:val="3"/>
              </w:numPr>
              <w:ind w:left="1089" w:hanging="360"/>
              <w:contextualSpacing/>
              <w:tabs>
                <w:tab w:val="left" w:pos="1089" w:leader="none"/>
              </w:tabs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możliwość porównania wykonanych badań SPECT, SPECT/CT z badaniem perfuzji i żywotności w PET (PET/CT) wraz z możliwością importu tych badań z serwera PACS  oraz lokalnego systemu plików - załączone bezterminowe licencje umożliwiające import danych i wykonanie takiego porównania,</w:t>
            </w:r>
          </w:p>
          <w:p>
            <w:pPr>
              <w:pStyle w:val="para91"/>
              <w:numPr>
                <w:ilvl w:val="0"/>
                <w:numId w:val="3"/>
              </w:numPr>
              <w:ind w:left="1089" w:hanging="360"/>
              <w:contextualSpacing/>
              <w:tabs>
                <w:tab w:val="left" w:pos="1089" w:leader="none"/>
              </w:tabs>
            </w:pPr>
            <w:r>
              <w:rPr>
                <w:rFonts w:ascii="Calibri" w:hAnsi="Calibri" w:cs="Calibri"/>
                <w:szCs w:val="24"/>
              </w:rPr>
              <w:t>określanie parametrów funkcyjnych serca takich jak: objętość lewej komory, frakcja wyrzutowa, lokalne pogrubienie ściany, ruchomość</w:t>
            </w:r>
            <w:r/>
          </w:p>
          <w:p>
            <w:pPr>
              <w:pStyle w:val="para91"/>
              <w:numPr>
                <w:ilvl w:val="0"/>
                <w:numId w:val="3"/>
              </w:numPr>
              <w:ind w:left="1089" w:hanging="360"/>
              <w:contextualSpacing/>
              <w:tabs>
                <w:tab w:val="left" w:pos="1089" w:leader="none"/>
              </w:tabs>
            </w:pPr>
            <w:r>
              <w:rPr>
                <w:rFonts w:ascii="Calibri" w:hAnsi="Calibri" w:cs="Calibri"/>
                <w:szCs w:val="24"/>
              </w:rPr>
              <w:t xml:space="preserve">możliwość fuzji wykonanych badań SPECT, SPECT/CT z badaniem </w:t>
            </w:r>
            <w:r>
              <w:rPr>
                <w:rFonts w:ascii="Calibri" w:hAnsi="Calibri" w:eastAsia="Calibri" w:cs="Calibri"/>
                <w:szCs w:val="24"/>
              </w:rPr>
              <w:t xml:space="preserve">uwapnienia naczyń w CT i badaniem koronarograficznym </w:t>
            </w:r>
            <w:r>
              <w:rPr>
                <w:rFonts w:ascii="Calibri" w:hAnsi="Calibri" w:cs="Calibri"/>
                <w:szCs w:val="24"/>
              </w:rPr>
              <w:t>z możliwością importu powyższych badań z serwera PACS oraz lokalnego systemu plików.</w:t>
            </w:r>
            <w:r/>
          </w:p>
          <w:p>
            <w:pPr>
              <w:ind w:left="30"/>
            </w:pPr>
            <w:r>
              <w:rPr>
                <w:rFonts w:ascii="Calibri" w:hAnsi="Calibri" w:cs="Calibri"/>
                <w:szCs w:val="24"/>
              </w:rPr>
              <w:t>Bezterminowa licencja dla 1 jednoczesnego użytkownika.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opisać</w:t>
            </w:r>
            <w:r>
              <w:rPr>
                <w:rFonts w:ascii="Calibri" w:hAnsi="Calibri" w:eastAsia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4"/>
              <w:ind w:left="37"/>
              <w:spacing/>
              <w:jc w:val="center"/>
              <w:tabs>
                <w:tab w:val="clear" w:pos="0" w:leader="none"/>
                <w:tab w:val="clear" w:pos="1417" w:leader="none"/>
              </w:tabs>
              <w:rPr>
                <w:highlight w:val="cyan"/>
                <w:sz w:val="24"/>
                <w:szCs w:val="24"/>
              </w:rPr>
            </w:pPr>
            <w:r>
              <w:rPr>
                <w:highlight w:val="cyan"/>
                <w:sz w:val="24"/>
                <w:szCs w:val="24"/>
              </w:rPr>
            </w:r>
          </w:p>
          <w:p>
            <w:pPr>
              <w:pStyle w:val="para94"/>
              <w:ind w:left="37"/>
              <w:spacing/>
              <w:jc w:val="center"/>
              <w:tabs>
                <w:tab w:val="clear" w:pos="0" w:leader="none"/>
                <w:tab w:val="clear" w:pos="1417" w:leader="none"/>
              </w:tabs>
              <w:rPr>
                <w:highlight w:val="cyan"/>
                <w:i/>
                <w:sz w:val="24"/>
                <w:szCs w:val="24"/>
              </w:rPr>
            </w:pPr>
            <w:r>
              <w:rPr>
                <w:highlight w:val="cyan"/>
                <w:i/>
                <w:sz w:val="24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color w:val="000000"/>
                <w:szCs w:val="24"/>
              </w:rPr>
              <w:t>Oprogramowanie do obliczania wskaźnika uwapnienia tętnic wieńcowych z podziałem na tętnice oraz całkowitego uwapnienia tętnic (Calcium Scoring)</w:t>
            </w:r>
            <w:r/>
          </w:p>
          <w:p>
            <w:r>
              <w:rPr>
                <w:rFonts w:ascii="Calibri" w:hAnsi="Calibri" w:cs="Calibri"/>
                <w:szCs w:val="24"/>
              </w:rPr>
              <w:t>Bezterminowa licencja dla 1 jednoczesnego użytkownika.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highlight w:val="yellow"/>
                <w:i/>
                <w:strike w:val="1"/>
                <w:szCs w:val="24"/>
              </w:rPr>
            </w:pPr>
            <w:r>
              <w:rPr>
                <w:rFonts w:ascii="Calibri" w:hAnsi="Calibri" w:cs="Calibri"/>
                <w:highlight w:val="yellow"/>
                <w:i/>
                <w:strike w:val="1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13993" w:type="dxa"/>
            <w:gridSpan w:val="5"/>
            <w:shd w:val="solid" w:color="D9D9D9" tmshd="6553856, 14277081, 16777215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360"/>
              <w: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 SERWER APLIKACYJNY</w:t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24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Serwer aplikacyjny w technologii klient-serwer z własną bazą danych obrazowych pacjentów, z możliwością obsłużenia co najmniej 7 konsol lekarskich (stanowisk lekarskich/stacji diagnostycznych/opisowych).</w:t>
            </w:r>
          </w:p>
          <w:p>
            <w:r/>
          </w:p>
          <w:p>
            <w:pPr>
              <w:ind w:left="283" w:hanging="283"/>
            </w:pPr>
            <w:r>
              <w:rPr>
                <w:rFonts w:ascii="Calibri" w:hAnsi="Calibri" w:cs="Calibri"/>
                <w:szCs w:val="24"/>
              </w:rPr>
              <w:t>a) Minimalne parametry serwera dostarczanego:</w:t>
            </w:r>
            <w:r/>
          </w:p>
          <w:p>
            <w:pPr>
              <w:pStyle w:val="para91"/>
              <w:numPr>
                <w:ilvl w:val="2"/>
                <w:numId w:val="6"/>
              </w:numPr>
              <w:ind w:left="1003" w:hanging="283"/>
              <w:contextualSpacing/>
              <w:tabs>
                <w:tab w:val="left" w:pos="1428" w:leader="none"/>
              </w:tabs>
            </w:pPr>
            <w:r>
              <w:rPr>
                <w:rFonts w:ascii="Calibri" w:hAnsi="Calibri" w:cs="Calibri"/>
                <w:szCs w:val="24"/>
              </w:rPr>
              <w:t>obudowa serwera do zabudowy w szafie RACK 19”</w:t>
            </w:r>
            <w:r>
              <w:t>,</w:t>
            </w:r>
          </w:p>
          <w:p>
            <w:pPr>
              <w:pStyle w:val="para91"/>
              <w:numPr>
                <w:ilvl w:val="2"/>
                <w:numId w:val="6"/>
              </w:numPr>
              <w:ind w:left="1003" w:hanging="283"/>
              <w:contextualSpacing/>
              <w:tabs>
                <w:tab w:val="left" w:pos="1428" w:leader="none"/>
              </w:tabs>
            </w:pPr>
            <w:r>
              <w:rPr>
                <w:rFonts w:ascii="Calibri" w:hAnsi="Calibri" w:cs="Calibri"/>
                <w:szCs w:val="24"/>
              </w:rPr>
              <w:t xml:space="preserve">liczba procesorów </w:t>
            </w:r>
            <w:r>
              <w:rPr>
                <w:rFonts w:ascii="Calibri" w:hAnsi="Calibri" w:cs="Calibri"/>
                <w:i/>
                <w:color w:val="000000"/>
                <w:szCs w:val="24"/>
              </w:rPr>
              <w:t>fizycznych</w:t>
            </w:r>
            <w:r>
              <w:rPr>
                <w:rFonts w:ascii="Calibri" w:hAnsi="Calibri" w:cs="Calibri"/>
                <w:szCs w:val="24"/>
              </w:rPr>
              <w:t>: min. 2</w:t>
            </w:r>
            <w:r/>
          </w:p>
          <w:p>
            <w:pPr>
              <w:pStyle w:val="para91"/>
              <w:numPr>
                <w:ilvl w:val="2"/>
                <w:numId w:val="6"/>
              </w:numPr>
              <w:ind w:left="1003" w:hanging="283"/>
              <w:contextualSpacing/>
              <w:tabs>
                <w:tab w:val="left" w:pos="1428" w:leader="none"/>
              </w:tabs>
            </w:pPr>
            <w:r>
              <w:rPr>
                <w:rFonts w:ascii="Calibri" w:hAnsi="Calibri" w:cs="Calibri"/>
                <w:szCs w:val="24"/>
              </w:rPr>
              <w:t>pamięć RAM: min. 96 GB</w:t>
            </w:r>
            <w:r>
              <w:t>,</w:t>
            </w:r>
          </w:p>
          <w:p>
            <w:pPr>
              <w:pStyle w:val="para91"/>
              <w:numPr>
                <w:ilvl w:val="2"/>
                <w:numId w:val="6"/>
              </w:numPr>
              <w:ind w:left="1003" w:hanging="283"/>
              <w:contextualSpacing/>
              <w:tabs>
                <w:tab w:val="left" w:pos="1428" w:leader="none"/>
              </w:tabs>
            </w:pPr>
            <w:r>
              <w:rPr>
                <w:rFonts w:ascii="Calibri" w:hAnsi="Calibri" w:cs="Calibri"/>
                <w:szCs w:val="24"/>
              </w:rPr>
              <w:t xml:space="preserve">wbudowana macierz w konfiguracji RAID Level 5 lub równoważnej </w:t>
            </w:r>
            <w:r>
              <w:rPr>
                <w:rFonts w:ascii="Calibri" w:hAnsi="Calibri" w:cs="Calibri"/>
                <w:i/>
                <w:color w:val="000000"/>
                <w:szCs w:val="24"/>
              </w:rPr>
              <w:t>typu Hot-plug</w:t>
            </w:r>
            <w:r>
              <w:t>,</w:t>
            </w:r>
          </w:p>
          <w:p>
            <w:pPr>
              <w:pStyle w:val="para91"/>
              <w:numPr>
                <w:ilvl w:val="2"/>
                <w:numId w:val="6"/>
              </w:numPr>
              <w:ind w:left="1003" w:hanging="283"/>
              <w:contextualSpacing/>
              <w:tabs>
                <w:tab w:val="left" w:pos="1428" w:leader="none"/>
              </w:tabs>
            </w:pPr>
            <w:r>
              <w:rPr>
                <w:rFonts w:ascii="Calibri" w:hAnsi="Calibri" w:cs="Calibri"/>
                <w:szCs w:val="24"/>
              </w:rPr>
              <w:t>pojemność macierzy: min. 10 TB</w:t>
            </w:r>
            <w:r/>
          </w:p>
          <w:p>
            <w:pPr>
              <w:pStyle w:val="para91"/>
              <w:numPr>
                <w:ilvl w:val="2"/>
                <w:numId w:val="6"/>
              </w:numPr>
              <w:ind w:left="1003" w:hanging="283"/>
              <w:contextualSpacing/>
              <w:tabs>
                <w:tab w:val="left" w:pos="1428" w:leader="none"/>
              </w:tabs>
            </w:pPr>
            <w:r>
              <w:rPr>
                <w:rFonts w:ascii="Calibri" w:hAnsi="Calibri" w:cs="Calibri"/>
                <w:szCs w:val="24"/>
              </w:rPr>
              <w:t>redundantne zasilanie typu Hot-plug</w:t>
            </w:r>
            <w:r>
              <w:t>,</w:t>
            </w:r>
          </w:p>
          <w:p>
            <w:pPr>
              <w:pStyle w:val="para91"/>
              <w:numPr>
                <w:ilvl w:val="2"/>
                <w:numId w:val="6"/>
              </w:numPr>
              <w:ind w:left="1003" w:hanging="283"/>
              <w:contextualSpacing/>
              <w:tabs>
                <w:tab w:val="left" w:pos="1428" w:leader="none"/>
              </w:tabs>
            </w:pPr>
            <w:r>
              <w:rPr>
                <w:rFonts w:ascii="Calibri" w:hAnsi="Calibri" w:cs="Calibri"/>
                <w:szCs w:val="24"/>
              </w:rPr>
              <w:t>napęd optyczny: co najmniej DVD RW</w:t>
            </w:r>
            <w:r>
              <w:t>,</w:t>
            </w:r>
          </w:p>
          <w:p>
            <w:pPr>
              <w:pStyle w:val="para91"/>
              <w:numPr>
                <w:ilvl w:val="2"/>
                <w:numId w:val="6"/>
              </w:numPr>
              <w:ind w:left="1003" w:hanging="283"/>
              <w:contextualSpacing/>
              <w:tabs>
                <w:tab w:val="left" w:pos="1428" w:leader="none"/>
              </w:tabs>
            </w:pPr>
            <w:r>
              <w:rPr>
                <w:rFonts w:ascii="Calibri" w:hAnsi="Calibri" w:cs="Calibri"/>
                <w:szCs w:val="24"/>
              </w:rPr>
              <w:t>klawiatura, mysz</w:t>
            </w:r>
            <w:r>
              <w:t>,</w:t>
            </w:r>
          </w:p>
          <w:p>
            <w:pPr>
              <w:pStyle w:val="para91"/>
              <w:ind w:left="283" w:hanging="283"/>
              <w:contextualSpacing/>
              <w:tabs>
                <w:tab w:val="left" w:pos="1428" w:leader="none"/>
              </w:tabs>
            </w:pPr>
            <w:r/>
          </w:p>
          <w:p>
            <w:pPr>
              <w:pStyle w:val="para91"/>
              <w:ind w:left="283" w:hanging="283"/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b) Zamawiający dopuszcza rozbudowę istniejącego serwera o ile wykonawca zapewni niepogorszone działanie aplikacji wcześniej zainstalowanych i właściwe działanie aplikacji uruchomionych w wyniku zrealizowanego przedmiotowego postępowania. Zamawiający zastrzega sobie prawo do żądania dostawy nowego serwera o ile stwierdzi nie spełnienie warunku jak wyżej.</w:t>
            </w:r>
            <w:r>
              <w:t xml:space="preserve"> </w:t>
            </w:r>
            <w:r>
              <w:rPr>
                <w:rFonts w:ascii="Calibri" w:hAnsi="Calibri" w:cs="Calibri"/>
                <w:szCs w:val="24"/>
              </w:rPr>
              <w:t>W przypadku rozbudowy wykonawca dostarczy na własny koszt wszystkie wymagane podzespoły i aplikacje (w tym niezbędne oprogramowanie wraz z bezterminowymi licencjami) zapewniające prawidłowe funkcjonowanie serwera w dotychczasowym otoczeniu sprzętowym i programowym.</w:t>
            </w:r>
            <w:r>
              <w:rPr>
                <w:rFonts w:ascii="Calibri" w:hAnsi="Calibri" w:cs="Calibri"/>
                <w:szCs w:val="24"/>
              </w:rPr>
            </w:r>
          </w:p>
          <w:p>
            <w:pPr>
              <w:pStyle w:val="para91"/>
              <w:ind w:left="283" w:hanging="283"/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  <w:p>
            <w:pPr>
              <w:ind w:left="24"/>
              <w:rPr>
                <w:rFonts w:ascii="Calibri" w:hAnsi="Calibri" w:cs="Calibri"/>
                <w:spacing w:val="-5"/>
                <w:szCs w:val="24"/>
              </w:rPr>
            </w:pPr>
            <w:r>
              <w:rPr>
                <w:rFonts w:ascii="Calibri" w:hAnsi="Calibri" w:cs="Calibri"/>
                <w:spacing w:val="-5"/>
                <w:szCs w:val="24"/>
              </w:rPr>
              <w:t>Zarządzanie serwerem – Wykonawca na żądanie Zamawiającego zobowiązany jest utworzyć i przekazać personelowi informatycznemu Zamawiającego co najmniej dwa konta administratora, które pozwolą na jego zarządzanie oraz sprawdzanie logów i konfigurację powiadomień krytycznych na maila.</w:t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1110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214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green"/>
                <w:color w:val="000000"/>
                <w:szCs w:val="24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 xml:space="preserve">Dostawa wszystkich aplikacji do oceny klinicznej badań, w oparciu o model pływających licencji. </w:t>
              <w:br w:type="textWrapping"/>
              <w:t>Możliwość zainstalowania/uruchomienia ww. oprogramowania klienckiego, na dowolnej liczbie stanowisk, z natychmiastową dostępnością do dowolnego badania i dowolnej aplikacji. Podać minimalne wymagania stanowiska komputerowego do instalacji/uruchomienia oprogramowania klienckiego.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  <w:r/>
          </w:p>
          <w:p>
            <w:pPr>
              <w:spacing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podać minim</w:t>
            </w:r>
            <w:r>
              <w:rPr>
                <w:rFonts w:ascii="Calibri" w:hAnsi="Calibri" w:eastAsia="Calibri" w:cs="Calibri"/>
                <w:color w:val="000000"/>
                <w:szCs w:val="24"/>
              </w:rPr>
              <w:t>alne wymagania sprzętowe</w:t>
            </w:r>
            <w:r>
              <w:rPr>
                <w:rFonts w:ascii="Calibri" w:hAnsi="Calibri" w:eastAsia="Calibri" w:cs="Calibri"/>
              </w:rPr>
              <w:t xml:space="preserve"> dla instalacji / uruchomienia aplikacji</w:t>
            </w:r>
            <w:r/>
          </w:p>
        </w:tc>
        <w:tc>
          <w:tcPr>
            <w:tcW w:w="1110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214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13993" w:type="dxa"/>
            <w:gridSpan w:val="5"/>
            <w:shd w:val="solid" w:color="D9D9D9" tmshd="6553856, 14277081, 16777215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360"/>
              <w:spacing/>
              <w:jc w:val="center"/>
            </w:pPr>
            <w:r>
              <w:rPr>
                <w:rFonts w:ascii="Calibri" w:hAnsi="Calibri" w:cs="Calibri"/>
                <w:b/>
              </w:rPr>
              <w:t>VII WYMAGANIA DODATKOWE</w:t>
            </w:r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13993" w:type="dxa"/>
            <w:gridSpan w:val="5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Wymagania instalacyjne</w:t>
            </w:r>
            <w:r>
              <w:rPr>
                <w:b/>
                <w:bCs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1723" w:hRule="atLeast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Zamawiający informuje o możliwości dokonania wizji lokalnej adaptowanego pomieszczenia. Zamawiający informuje, że wszelkie uszkodzenia oraz braki związane z montażem urządzenia Wykonawca musi odtworzyć i doprowadzić do stanu pierwotnego.</w:t>
            </w:r>
            <w:r/>
          </w:p>
        </w:tc>
        <w:tc>
          <w:tcPr>
            <w:tcW w:w="2269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i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728" w:hRule="atLeast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spacing/>
              <w:contextualSpacing/>
              <w:jc w:val="right"/>
              <w:tabs>
                <w:tab w:val="left" w:pos="0" w:leader="none"/>
              </w:tabs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Instalacja skanera SPECT/CT w zaadaptowanych pomieszczeniach</w:t>
            </w:r>
            <w:r/>
          </w:p>
        </w:tc>
        <w:tc>
          <w:tcPr>
            <w:tcW w:w="2269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i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1993" w:hRule="atLeast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Dostarczenie wytycznych (indywidualnych dedykowanych dla poszczególnych placówek  dostosowanych do indywidualnych potrzeb) producenta w zakresie adaptacji pomieszczeń i systemów na potrzeby pracowni SPECT/CT w ciągu 7 dni roboczych od dnia rozstrzygnięcia przetargu. Projekt ochrony radiologicznej – dostawa wraz z urządzeniem.</w:t>
            </w:r>
            <w:r/>
          </w:p>
        </w:tc>
        <w:tc>
          <w:tcPr>
            <w:tcW w:w="2269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cyan"/>
                <w:i/>
                <w:color w:val="000000"/>
                <w:szCs w:val="24"/>
              </w:rPr>
            </w:pPr>
            <w:r>
              <w:rPr>
                <w:rFonts w:ascii="Calibri" w:hAnsi="Calibri" w:cs="Calibri"/>
                <w:highlight w:val="cyan"/>
                <w:i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1189" w:hRule="atLeast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tabs>
                <w:tab w:val="left" w:pos="4265" w:leader="none"/>
              </w:tabs>
            </w:pPr>
            <w:r>
              <w:rPr>
                <w:rFonts w:ascii="Calibri" w:hAnsi="Calibri" w:cs="Calibri"/>
                <w:szCs w:val="24"/>
              </w:rPr>
              <w:t>Wykonawca zobowiązany jest do wykonania na własny koszt testów akceptacyjnych i wymaganych specjalistycznych po montażu aparatu.</w:t>
            </w:r>
            <w:r/>
          </w:p>
        </w:tc>
        <w:tc>
          <w:tcPr>
            <w:tcW w:w="2269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i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eastAsia="Meiryo UI" w:cs="Calibri"/>
                <w:szCs w:val="24"/>
              </w:rPr>
              <w:t>Wykonawca zobowiązuje się do zapewnienia na koszt własny przeglądów technicznych i wymaganych testów specjalistycznych (zgodnych z Dz.U. z 2017 r. poz 884 i Dz.U. z 2015r poz.</w:t>
            </w:r>
            <w:r>
              <w:rPr>
                <w:rFonts w:ascii="Calibri" w:hAnsi="Calibri" w:eastAsia="Calibri" w:cs="Calibri"/>
                <w:color w:val="2e2014"/>
                <w:szCs w:val="24"/>
              </w:rPr>
              <w:t xml:space="preserve"> 2040</w:t>
            </w:r>
            <w:r>
              <w:rPr>
                <w:rFonts w:ascii="Calibri" w:hAnsi="Calibri" w:eastAsia="Meiryo UI" w:cs="Calibri"/>
                <w:szCs w:val="24"/>
              </w:rPr>
              <w:t>) przez cały okres trwania gwarancji</w:t>
            </w:r>
            <w:r/>
          </w:p>
        </w:tc>
        <w:tc>
          <w:tcPr>
            <w:tcW w:w="2269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i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13993" w:type="dxa"/>
            <w:gridSpan w:val="5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Instrukcje i szkolenia</w:t>
            </w:r>
            <w:r>
              <w:rPr>
                <w:b/>
                <w:bCs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1665" w:hRule="atLeast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eastAsia="Meiryo UI" w:cs="Calibri"/>
                <w:szCs w:val="24"/>
              </w:rPr>
              <w:t>Instrukcje obsługi do skanera SPECT/CT, stacji akwizycyjnej, stacji diagnostycznych w języku polskim - dostarczone z urządzeniami - w tym przynajmniej jeden komplet w wersji drukowanej i jeden w wersji elektronicznej.</w:t>
            </w:r>
            <w:r/>
          </w:p>
        </w:tc>
        <w:tc>
          <w:tcPr>
            <w:tcW w:w="2269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trike w:val="1"/>
                <w:szCs w:val="24"/>
              </w:rPr>
            </w:pPr>
            <w:r>
              <w:rPr>
                <w:rFonts w:ascii="Calibri" w:hAnsi="Calibri" w:cs="Calibri"/>
                <w:strike w:val="1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1072" w:hRule="atLeast"/>
        </w:trPr>
        <w:tc>
          <w:tcPr>
            <w:tcW w:w="951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tabs>
                <w:tab w:val="left" w:pos="4320" w:leader="none"/>
              </w:tabs>
            </w:pPr>
            <w:r>
              <w:rPr>
                <w:rFonts w:ascii="Calibri" w:hAnsi="Calibri" w:eastAsia="Meiryo UI" w:cs="Calibri"/>
                <w:szCs w:val="24"/>
              </w:rPr>
              <w:t>Szkolenie z obsługi gamma kamery w terminach uzgodnionych z Zamawiającym – min. 10 dni roboczych w określonym miesiącu.</w:t>
            </w:r>
            <w:r/>
          </w:p>
        </w:tc>
        <w:tc>
          <w:tcPr>
            <w:tcW w:w="2269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cyan"/>
                <w:szCs w:val="24"/>
              </w:rPr>
            </w:pPr>
            <w:r>
              <w:rPr>
                <w:rFonts w:ascii="Calibri" w:hAnsi="Calibri" w:cs="Calibri"/>
                <w:highlight w:val="cyan"/>
                <w:szCs w:val="24"/>
              </w:rPr>
            </w:r>
          </w:p>
          <w:p>
            <w:pPr>
              <w:rPr>
                <w:rFonts w:ascii="Calibri" w:hAnsi="Calibri" w:cs="Calibri"/>
                <w:highlight w:val="cyan"/>
                <w:szCs w:val="24"/>
              </w:rPr>
            </w:pPr>
            <w:r>
              <w:rPr>
                <w:rFonts w:ascii="Calibri" w:hAnsi="Calibri" w:cs="Calibri"/>
                <w:highlight w:val="cyan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1875" w:hRule="atLeast"/>
        </w:trPr>
        <w:tc>
          <w:tcPr>
            <w:tcW w:w="951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Instruktaż obsługowy obejmujący: podstawową obsługę skanera i podstawowe oprogramowanie SPECT/CT dla personelu technicznego i narzędzia do kalibracji i kontroli jakości dla fizyka,</w:t>
            </w:r>
            <w:r/>
          </w:p>
          <w:p>
            <w:r>
              <w:rPr>
                <w:rFonts w:ascii="Calibri" w:hAnsi="Calibri" w:cs="Calibri"/>
                <w:szCs w:val="24"/>
              </w:rPr>
              <w:t>zakończone przed podpisaniem protokołu odbioru końcowego.</w:t>
            </w:r>
            <w:r/>
          </w:p>
        </w:tc>
        <w:tc>
          <w:tcPr>
            <w:tcW w:w="2269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1189" w:hRule="atLeast"/>
        </w:trPr>
        <w:tc>
          <w:tcPr>
            <w:tcW w:w="951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>
              <w:rPr>
                <w:rFonts w:ascii="Calibri" w:hAnsi="Calibri" w:cs="Calibri"/>
                <w:szCs w:val="24"/>
              </w:rPr>
              <w:t>Instruktaż obsługowy dot. platformy opisowej dla personelu medycznego, zakończony przed protokołem odbioru końcowego.</w:t>
            </w:r>
            <w:r/>
          </w:p>
        </w:tc>
        <w:tc>
          <w:tcPr>
            <w:tcW w:w="2269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339" w:hRule="atLeast"/>
        </w:trPr>
        <w:tc>
          <w:tcPr>
            <w:tcW w:w="13993" w:type="dxa"/>
            <w:gridSpan w:val="5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ind w:left="0" w:hanging="360"/>
              <w:spacing/>
              <w:contextualSpacing/>
              <w:jc w:val="center"/>
              <w:tabs>
                <w:tab w:val="left" w:pos="0" w:leader="none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Wymagania dodatkowe dla poszczególnych ośrodków</w:t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1189" w:hRule="atLeast"/>
        </w:trPr>
        <w:tc>
          <w:tcPr>
            <w:tcW w:w="951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Dla WSS (dla 1 ośrodka) dodatkowo:</w:t>
            </w:r>
          </w:p>
          <w:p>
            <w:pPr>
              <w:numPr>
                <w:ilvl w:val="0"/>
                <w:numId w:val="11"/>
              </w:numPr>
              <w:ind w:left="360" w:hanging="360"/>
              <w:spacing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integracja, oprócz archiwizacji i przepływu danych poprzez PACS/RIS musi pozwalać na przepływ informacji z/do Szpitalnego Systemu Informatycznego HIS </w:t>
            </w:r>
            <w:r>
              <w:rPr>
                <w:rFonts w:ascii="Calibri" w:hAnsi="Calibri" w:cs="Calibri"/>
                <w:szCs w:val="24"/>
                <w:u w:color="auto" w:val="single"/>
              </w:rPr>
              <w:t>firmy: ASSECO (AMMS)</w:t>
            </w:r>
            <w:r>
              <w:rPr>
                <w:rFonts w:ascii="Calibri" w:hAnsi="Calibri" w:cs="Calibri"/>
                <w:szCs w:val="24"/>
              </w:rPr>
              <w:t>,</w:t>
            </w:r>
            <w:r>
              <w:rPr>
                <w:rFonts w:ascii="Calibri" w:hAnsi="Calibri" w:cs="Calibri"/>
                <w:color w:val="ff0000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w zakresie umożliwiającym co najmniej przesył zleceń z HIS i odbiór opisów badań i linków do zdjęć. Wszystkie koszty integracji i dodatkowych licencji z tym związanych pokrywa Wykonawca.</w:t>
            </w:r>
            <w:r>
              <w:rPr>
                <w:rFonts w:ascii="Calibri" w:hAnsi="Calibri" w:cs="Calibri"/>
                <w:szCs w:val="24"/>
              </w:rPr>
            </w:r>
          </w:p>
          <w:p>
            <w:pPr>
              <w:numPr>
                <w:ilvl w:val="0"/>
                <w:numId w:val="11"/>
              </w:numPr>
              <w:ind w:left="360" w:hanging="360"/>
              <w:spacing/>
              <w:jc w:val="both"/>
            </w:pPr>
            <w:r>
              <w:rPr>
                <w:rFonts w:ascii="Calibri" w:hAnsi="Calibri" w:cs="Calibri"/>
                <w:szCs w:val="24"/>
              </w:rPr>
              <w:t>integracja musi też umożliwiać w sytuacjach awaryjnych wykorzystywanie CT jako tomografu do wykonywania zwykłych badań szpitalnych (np. z SOR) wraz z pełną komunikacją z systemem szpitalnym.</w:t>
            </w:r>
            <w:r/>
          </w:p>
          <w:p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TAK,</w:t>
            </w:r>
          </w:p>
          <w:p>
            <w:pPr>
              <w: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podać cenę integracji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1189" w:hRule="atLeast"/>
        </w:trPr>
        <w:tc>
          <w:tcPr>
            <w:tcW w:w="951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Dla WSS (dla 1 ośrodka) dodatkowo:</w:t>
            </w:r>
          </w:p>
          <w:p>
            <w:pPr>
              <w:numPr>
                <w:ilvl w:val="0"/>
                <w:numId w:val="11"/>
              </w:numPr>
              <w:ind w:left="360" w:hanging="3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szkolenie z podstawowej administracji systemem: zakładanie użytkowników, nadawanie uprawnień, historia logowań, historia zmian, błędy procesów wymiany danych z systemami szpitalnymi,  itp. dla 5 informatyków w szpitalu.</w:t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1189" w:hRule="atLeast"/>
        </w:trPr>
        <w:tc>
          <w:tcPr>
            <w:tcW w:w="951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Dla WSS (dla 1 ośrodka) dodatkowo:</w:t>
            </w:r>
          </w:p>
          <w:p>
            <w:pPr>
              <w:numPr>
                <w:ilvl w:val="0"/>
                <w:numId w:val="11"/>
              </w:numPr>
              <w:ind w:left="360" w:hanging="3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szkolenie w języku polskim z zakresu administrowania systemem operacyjnym serwera dla 3 informatyków szpitala w autoryzowanym przez producenta systemu ośrodku.</w:t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  <w:p>
            <w:pPr>
              <w: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1189" w:hRule="atLeast"/>
        </w:trPr>
        <w:tc>
          <w:tcPr>
            <w:tcW w:w="951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Dla WIM i BCO (dla każdego z 2 ośrodków) dodatkowo:</w:t>
            </w:r>
          </w:p>
          <w:p>
            <w:pPr>
              <w:numPr>
                <w:ilvl w:val="0"/>
                <w:numId w:val="11"/>
              </w:numPr>
              <w:ind w:left="372" w:hanging="360"/>
            </w:pPr>
            <w:r>
              <w:rPr>
                <w:rFonts w:ascii="Calibri" w:hAnsi="Calibri" w:cs="Calibri"/>
                <w:szCs w:val="24"/>
              </w:rPr>
              <w:t xml:space="preserve">kolimatory średnioenergetyczne, (ME do badań z Lu177) – 2 szt. (po jednej sztuce do każdego z detektorów). 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1189" w:hRule="atLeast"/>
        </w:trPr>
        <w:tc>
          <w:tcPr>
            <w:tcW w:w="951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Dla WIM i BCO (dla każdego z 2 ośrodków) dodatkowo:</w:t>
            </w:r>
          </w:p>
          <w:p>
            <w:pPr>
              <w:numPr>
                <w:ilvl w:val="0"/>
                <w:numId w:val="11"/>
              </w:numPr>
              <w:ind w:left="372" w:hanging="360"/>
              <w:rPr>
                <w:rFonts w:ascii="Calibri" w:hAnsi="Calibri" w:eastAsia="Calibri" w:cs="Calibri"/>
                <w:color w:val="000000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automatyczny lub półautomatyczny s</w:t>
            </w:r>
            <w:r>
              <w:rPr>
                <w:rFonts w:ascii="Calibri" w:hAnsi="Calibri" w:eastAsia="Calibri" w:cs="Calibri"/>
                <w:szCs w:val="24"/>
              </w:rPr>
              <w:t>ystem wymiany i przechowywania dla kolimatorów średnioenergetycznych (ME) lub rozbudowa takiego systemu (opisanego w pkt 30 Specyfikacji parametrów techniczno-użytkowych) uwzględniająca wymianę i przechowywanie kolimatorów średnioenergetycznych (ME).</w:t>
            </w:r>
            <w:r>
              <w:rPr>
                <w:rFonts w:ascii="Calibri" w:hAnsi="Calibri" w:eastAsia="Calibri" w:cs="Calibri"/>
                <w:color w:val="000000"/>
                <w:szCs w:val="24"/>
              </w:rPr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  <w:r>
              <w:rPr>
                <w:rFonts w:ascii="Calibri" w:hAnsi="Calibri" w:eastAsia="Calibri" w:cs="Calibri"/>
              </w:rPr>
            </w:r>
          </w:p>
          <w:p>
            <w:pPr>
              <w:ind w:right="276"/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1189" w:hRule="atLeast"/>
        </w:trPr>
        <w:tc>
          <w:tcPr>
            <w:tcW w:w="951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Dla WIM i BCO (dla każdego z 2 ośrodków) dodatkowo:</w:t>
            </w:r>
          </w:p>
          <w:p>
            <w:pPr>
              <w:numPr>
                <w:ilvl w:val="0"/>
                <w:numId w:val="11"/>
              </w:numPr>
              <w:ind w:left="372" w:hanging="360"/>
            </w:pPr>
            <w:r>
              <w:rPr>
                <w:rFonts w:ascii="Calibri" w:hAnsi="Calibri" w:cs="Calibri"/>
                <w:szCs w:val="24"/>
              </w:rPr>
              <w:t>wózek / wózki jeden dla każdego zestawu kolimatorów średnioenergetycznych (ME) – jeśli wymagane - do przechowywania dostarczonych kolimatorów wraz z propozycją (rycina techniczna) ich lokalizacji w pomieszczeniu, w którym będzie zainstalowany aparat SPECT/CT, minimalizującą kolizyjność  ruchu szpitalnego łóżka z pacjentem i personelu.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  <w:p>
            <w:pPr>
              <w:ind w:right="276"/>
              <w:spacing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13993" w:type="dxa"/>
            <w:gridSpan w:val="5"/>
            <w:vAlign w:val="center"/>
            <w:shd w:val="solid" w:color="D9D9D9" tmshd="6553856, 14277081, 16777215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360"/>
              <w:spacing/>
              <w:jc w:val="center"/>
            </w:pPr>
            <w:r>
              <w:rPr>
                <w:rFonts w:ascii="Calibri" w:hAnsi="Calibri" w:cs="Calibri"/>
                <w:b/>
              </w:rPr>
              <w:t>VIII WARUNKI GWARANCJI PRODUCENTA</w:t>
            </w:r>
            <w:r/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34"/>
              <w:spacing w:line="276" w:lineRule="auto"/>
            </w:pPr>
            <w:r>
              <w:rPr>
                <w:rFonts w:ascii="Calibri" w:hAnsi="Calibri" w:cs="Calibri"/>
              </w:rPr>
              <w:t>Autoryzowany serwis gwarancyjny i pogwarancyjny na terenie RP.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</w:rPr>
            </w:pPr>
            <w:r>
              <w:rPr>
                <w:rFonts w:ascii="Calibri" w:hAnsi="Calibri" w:cs="Calibri"/>
                <w:highlight w:val="green"/>
                <w:color w:val="000000"/>
              </w:rPr>
            </w:r>
          </w:p>
        </w:tc>
        <w:tc>
          <w:tcPr>
            <w:tcW w:w="751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right="216"/>
              <w:spacing w:line="228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Okres pełnej bezpłatnej gwarancji aparatu (gwarancja obejmuje także wykonanie testów specjalistycznych wykonywanych przez certyfikowane laboratorium w okresie jej trwania) minimum 36 miesięcy</w:t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highlight w:val="cyan"/>
                <w:color w:val="000000"/>
              </w:rPr>
            </w:pPr>
            <w:r>
              <w:rPr>
                <w:rFonts w:ascii="Calibri" w:hAnsi="Calibri" w:cs="Calibri"/>
                <w:highlight w:val="cyan"/>
                <w:color w:val="000000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</w:rPr>
            </w:pPr>
            <w:r>
              <w:rPr>
                <w:rFonts w:ascii="Calibri" w:hAnsi="Calibri" w:cs="Calibri"/>
                <w:highlight w:val="green"/>
                <w:color w:val="000000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8"/>
            </w:pPr>
            <w:r>
              <w:rPr>
                <w:rFonts w:ascii="Calibri" w:hAnsi="Calibri" w:cs="Calibri"/>
                <w:szCs w:val="24"/>
              </w:rPr>
              <w:t>Czas reakcji na zgłoszoną awarię [godz.] (dni robocze) maks. 24 godziny, maks. 2 dni na naprawę nie wymagającej części zamiennych, maks. 5 dni  roboczych na naprawę wymagającą części zamiennych.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TAK,</w:t>
            </w:r>
            <w:r>
              <w:rPr>
                <w:rFonts w:ascii="Calibri" w:hAnsi="Calibri" w:eastAsia="Calibri" w:cs="Calibri"/>
                <w:color w:val="000000"/>
              </w:rPr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</w:rPr>
              <w:t>podać</w:t>
            </w:r>
            <w:r>
              <w:rPr>
                <w:rFonts w:ascii="Calibri" w:hAnsi="Calibri" w:eastAsia="Calibri" w:cs="Calibri"/>
              </w:rPr>
              <w:t xml:space="preserve"> czasy reakcji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green"/>
                <w:color w:val="000000"/>
              </w:rPr>
            </w:pPr>
            <w:r>
              <w:rPr>
                <w:rFonts w:ascii="Calibri" w:hAnsi="Calibri" w:cs="Calibri"/>
                <w:highlight w:val="green"/>
                <w:color w:val="000000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8"/>
            </w:pPr>
            <w:r>
              <w:rPr>
                <w:rFonts w:ascii="Calibri" w:hAnsi="Calibri" w:cs="Calibri"/>
                <w:szCs w:val="24"/>
              </w:rPr>
              <w:t>Każda naprawa gwarancyjna skutkująca przestojem aparatu powoduje przedłużenie okresu gwarancji o czas naprawy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green"/>
              </w:rPr>
            </w:pPr>
            <w:r>
              <w:rPr>
                <w:rFonts w:ascii="Calibri" w:hAnsi="Calibri" w:cs="Calibri"/>
                <w:highlight w:val="green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8"/>
            </w:pPr>
            <w:r>
              <w:rPr>
                <w:rFonts w:ascii="Calibri" w:hAnsi="Calibri" w:cs="Calibri"/>
                <w:szCs w:val="24"/>
              </w:rPr>
              <w:t>Liczba bezpłatnych przeglądów w czasie gwarancji zgodnie z zaleceniami producenta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TAK,</w:t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</w:rPr>
              <w:t>podać</w:t>
            </w:r>
            <w:r>
              <w:rPr>
                <w:rFonts w:ascii="Calibri" w:hAnsi="Calibri" w:eastAsia="Calibri" w:cs="Calibri"/>
              </w:rPr>
              <w:t xml:space="preserve"> liczbę przeglądów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green"/>
              </w:rPr>
            </w:pPr>
            <w:r>
              <w:rPr>
                <w:rFonts w:ascii="Calibri" w:hAnsi="Calibri" w:cs="Calibri"/>
                <w:highlight w:val="green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3"/>
              <w:spacing w:after="0" w:line="276" w:lineRule="auto"/>
              <w:tabs>
                <w:tab w:val="left" w:pos="284" w:leader="none"/>
              </w:tabs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  <w:highlight w:val="green"/>
              </w:rPr>
            </w:pPr>
            <w:r>
              <w:rPr>
                <w:rFonts w:ascii="Calibri" w:hAnsi="Calibri" w:cs="Calibri"/>
                <w:highlight w:val="green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3"/>
              <w:spacing w:after="0" w:line="276" w:lineRule="auto"/>
              <w:tabs>
                <w:tab w:val="left" w:pos="284" w:leader="none"/>
              </w:tabs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Okres zagwarantowania dostępności części zamiennych oraz materiałów zużywalnych od daty podpisania protokołu odbioru technicznego min. 10 lat (na komponenty IT 5 lat)</w:t>
            </w:r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TAK,</w:t>
            </w:r>
          </w:p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/>
              </w:rPr>
              <w:t>podać</w:t>
            </w:r>
            <w:r>
              <w:rPr>
                <w:rFonts w:ascii="Calibri" w:hAnsi="Calibri" w:eastAsia="Calibri" w:cs="Calibri"/>
              </w:rPr>
              <w:t xml:space="preserve"> okres</w:t>
            </w:r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  <w:tr>
        <w:trPr>
          <w:trHeight w:val="0" w:hRule="auto"/>
        </w:trPr>
        <w:tc>
          <w:tcPr>
            <w:tcW w:w="951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pStyle w:val="para91"/>
              <w:numPr>
                <w:ilvl w:val="0"/>
                <w:numId w:val="4"/>
              </w:numPr>
              <w:ind w:left="720" w:hanging="360"/>
              <w:contextualSpacing/>
              <w:tabs>
                <w:tab w:val="left" w:pos="0" w:leader="none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7514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ind w:left="18"/>
            </w:pPr>
            <w:r>
              <w:rPr>
                <w:rFonts w:ascii="Calibri" w:hAnsi="Calibri" w:cs="Calibri"/>
                <w:szCs w:val="24"/>
              </w:rPr>
              <w:t>Okres gwarancji dla nowo zainstalowanych elementów po naprawie min. 12 miesięcy</w:t>
            </w:r>
            <w:r/>
          </w:p>
        </w:tc>
        <w:tc>
          <w:tcPr>
            <w:tcW w:w="2269" w:type="dxa"/>
            <w:vAlign w:val="center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TAK,</w:t>
            </w:r>
          </w:p>
          <w:p>
            <w:pPr>
              <w:spacing/>
              <w:jc w:val="center"/>
            </w:pPr>
            <w:r>
              <w:rPr>
                <w:rFonts w:ascii="Calibri" w:hAnsi="Calibri" w:cs="Calibri"/>
                <w:color w:val="000000"/>
              </w:rPr>
              <w:t>podać</w:t>
            </w:r>
            <w:r/>
          </w:p>
        </w:tc>
        <w:tc>
          <w:tcPr>
            <w:tcW w:w="3259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</w:p>
        </w:tc>
        <w:tc>
          <w:tcPr>
            <w:tcW w:w="3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6695654" protected="0"/>
          </w:tcPr>
          <w:p>
            <w:r/>
          </w:p>
        </w:tc>
      </w:tr>
    </w:tbl>
    <w:p>
      <w:pPr>
        <w:ind w:left="132"/>
      </w:pPr>
      <w:r/>
    </w:p>
    <w:p>
      <w:pPr>
        <w:ind w:left="132"/>
      </w:pPr>
      <w:bookmarkStart w:id="0" w:name="_GoBack"/>
      <w:bookmarkEnd w:id="0"/>
      <w:r/>
      <w:bookmarkStart w:id="1" w:name="_GoBack"/>
      <w:bookmarkEnd w:id="1"/>
      <w:r/>
    </w:p>
    <w:p>
      <w:pPr>
        <w:ind w:left="132"/>
      </w:pPr>
      <w:r/>
    </w:p>
    <w:p>
      <w:pPr>
        <w:spacing/>
        <w:jc w:val="right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  <w:r/>
    </w:p>
    <w:p>
      <w:pPr>
        <w:spacing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osoby upoważnionej</w:t>
        <w:tab/>
        <w:tab/>
      </w:r>
    </w:p>
    <w:p>
      <w:r/>
    </w:p>
    <w:p>
      <w:pPr>
        <w:rPr>
          <w:rFonts w:ascii="Calibri" w:hAnsi="Calibri" w:cs="Calibri"/>
          <w:b/>
          <w:sz w:val="18"/>
          <w:szCs w:val="18"/>
          <w:u w:color="auto" w:val="single"/>
        </w:rPr>
      </w:pPr>
      <w:r>
        <w:rPr>
          <w:rFonts w:ascii="Calibri" w:hAnsi="Calibri" w:cs="Calibri"/>
          <w:b/>
          <w:sz w:val="18"/>
          <w:szCs w:val="18"/>
          <w:u w:color="auto" w:val="single"/>
        </w:rPr>
        <w:t>UWAGA:</w:t>
      </w:r>
    </w:p>
    <w:p>
      <w:r>
        <w:rPr>
          <w:rFonts w:ascii="Calibri" w:hAnsi="Calibri" w:cs="Calibri"/>
          <w:sz w:val="18"/>
          <w:szCs w:val="18"/>
        </w:rPr>
        <w:t xml:space="preserve">1. Wszystkie parametry i wartości podane w zestawieniu muszą dotyczyć oferowanej konfiguracji (zawarte w cenie oferty) i dostępne w oferowanym aparacie w chwili złożenia oferty. </w:t>
      </w:r>
      <w:r/>
    </w:p>
    <w:p>
      <w:r>
        <w:rPr>
          <w:rFonts w:ascii="Calibri" w:hAnsi="Calibri" w:cs="Calibri"/>
          <w:sz w:val="18"/>
          <w:szCs w:val="18"/>
        </w:rPr>
        <w:t>2. Wszystkie wartości liczbowe muszą być podane w jednostkach zgodnych z podanymi w tabeli. Wartości liczbowe podane w innych jednostkach nie będą przeliczane. W przypadku parametrów ocenianych Wykonawca otrzyma 0 pkt, a w przypadku parametrów granicznych oferta zostanie odrzucona.</w:t>
      </w:r>
      <w:r/>
    </w:p>
    <w:p>
      <w:r>
        <w:rPr>
          <w:rFonts w:ascii="Calibri" w:hAnsi="Calibri" w:cs="Calibri"/>
          <w:sz w:val="18"/>
          <w:szCs w:val="18"/>
        </w:rPr>
        <w:t>3. Parametry, których wartość liczbowa określona jest w rubryce „parametr TAK” lub których spełnienie jest konieczne (zaznaczone TAK) stanowią wymagania, których niespełnienie spowoduje odrzucenie oferty.</w:t>
      </w:r>
      <w:r/>
    </w:p>
    <w:p>
      <w:r>
        <w:rPr>
          <w:rFonts w:ascii="Calibri" w:hAnsi="Calibri" w:cs="Calibri"/>
          <w:sz w:val="18"/>
          <w:szCs w:val="18"/>
        </w:rPr>
        <w:t>4. Wszystkie oferowane paramenty winny być potwierdzone w oryginalnych materiałach informacyjnych producenta (</w:t>
      </w:r>
      <w:r>
        <w:rPr>
          <w:rFonts w:ascii="Calibri" w:hAnsi="Calibri" w:eastAsia="Calibri" w:cs="Calibri"/>
          <w:bCs/>
          <w:sz w:val="18"/>
          <w:szCs w:val="18"/>
        </w:rPr>
        <w:t>foldery, prospekty, dane techniczne lub instrukcje oferowanego sprzętu; w języku angielskim, a w języku polskim w oryginale lub tłumaczeniu poświadczone za zgodność z oryginałem)</w:t>
      </w:r>
      <w:r>
        <w:rPr>
          <w:rFonts w:ascii="Calibri" w:hAnsi="Calibri" w:cs="Calibri"/>
          <w:sz w:val="18"/>
          <w:szCs w:val="18"/>
        </w:rPr>
        <w:t xml:space="preserve">, załączonych do oferty. </w:t>
      </w:r>
      <w:r>
        <w:rPr>
          <w:rFonts w:ascii="Calibri" w:hAnsi="Calibri" w:cs="Calibri"/>
          <w:b/>
          <w:sz w:val="18"/>
          <w:szCs w:val="18"/>
          <w:u w:color="auto" w:val="single"/>
        </w:rPr>
        <w:t xml:space="preserve">Wykonawca musi w kolumnie </w:t>
      </w:r>
      <w:r>
        <w:rPr>
          <w:rFonts w:ascii="Calibri" w:hAnsi="Calibri" w:cs="Calibri"/>
          <w:b/>
          <w:bCs/>
          <w:sz w:val="18"/>
          <w:szCs w:val="18"/>
          <w:u w:color="auto" w:val="single"/>
        </w:rPr>
        <w:t>PARAMETR OFEROWANY wskazać dokument i jego stronę potwierdzający deklarowany parametr, a w dokumencie producenta podkreślić wartość liczbową i/lub tekst potwierdzający parametr/cechę</w:t>
      </w:r>
      <w:r>
        <w:rPr>
          <w:rFonts w:ascii="Calibri" w:hAnsi="Calibri" w:cs="Calibri"/>
          <w:bCs/>
          <w:sz w:val="18"/>
          <w:szCs w:val="18"/>
        </w:rPr>
        <w:t>.</w:t>
      </w:r>
      <w:r/>
    </w:p>
    <w:p>
      <w:r>
        <w:rPr>
          <w:rFonts w:ascii="Calibri" w:hAnsi="Calibri" w:cs="Calibri"/>
          <w:bCs/>
          <w:sz w:val="18"/>
          <w:szCs w:val="18"/>
        </w:rPr>
        <w:t xml:space="preserve">5. W przypadku dwóch ofert, </w:t>
      </w:r>
      <w:r>
        <w:rPr>
          <w:rFonts w:ascii="Calibri" w:hAnsi="Calibri" w:cs="Calibri"/>
          <w:bCs/>
          <w:color w:val="000000"/>
          <w:sz w:val="18"/>
          <w:szCs w:val="18"/>
        </w:rPr>
        <w:t>gdy wartość parametry jest taka sama obie oferty dostają maksymalną liczbę punktów za dany parametr.</w:t>
      </w:r>
      <w:r/>
    </w:p>
    <w:p>
      <w:pPr>
        <w:tabs>
          <w:tab w:val="left" w:pos="0" w:leader="none"/>
        </w:tabs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6. W celu weryfikacji wiarygodności parametrów wpisanych w tabeli, Zamawiający zastrzega sobie prawo do weryfikacji danych technicznych u producenta (Wykonawca będzie zobligowany do dostarczenia oryginalnego, wymaganego przez Zamawiającego, potwierdzenia producenta w wymaganym terminie). Zamawiający zastrzega sobie prawo do weryfikacji danych technicznych przez wymóg wskazania parametru/cechy w aparacie demo (dotyczy aparatu rentgenowskiego) lub pracującym na terenie Polski/EU.  </w:t>
      </w:r>
    </w:p>
    <w:p>
      <w:pPr>
        <w:tabs>
          <w:tab w:val="left" w:pos="0" w:leader="none"/>
        </w:tabs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1906" w:w="16838" w:orient="landscape"/>
      <w:pgMar w:left="1418" w:top="1418" w:right="1418" w:bottom="1418" w:header="708" w:footer="709"/>
      <w:paperSrc w:first="0" w:other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Cambria">
    <w:charset w:val="01"/>
    <w:family w:val="roman"/>
    <w:pitch w:val="default"/>
  </w:font>
  <w:font w:name="Open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Albany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Liberation Sans">
    <w:charset w:val="01"/>
    <w:family w:val="swiss"/>
    <w:pitch w:val="default"/>
  </w:font>
  <w:font w:name="Garamond">
    <w:charset w:val="01"/>
    <w:family w:val="roman"/>
    <w:pitch w:val="default"/>
  </w:font>
  <w:font w:name="HG Mincho Light J">
    <w:charset w:val="00"/>
    <w:family w:val="auto"/>
    <w:pitch w:val="default"/>
  </w:font>
  <w:font w:name="Droid Sans Fallback">
    <w:charset w:val="00"/>
    <w:family w:val="roman"/>
    <w:pitch w:val="default"/>
  </w:font>
  <w:font w:name="Lohit Devanagari">
    <w:charset w:val="00"/>
    <w:family w:val="roman"/>
    <w:pitch w:val="default"/>
  </w:font>
  <w:font w:name="DejaVu Sans">
    <w:charset w:val="00"/>
    <w:family w:val="roman"/>
    <w:pitch w:val="default"/>
  </w:font>
  <w:font w:name="SimSun">
    <w:charset w:val="00"/>
    <w:family w:val="auto"/>
    <w:pitch w:val="default"/>
  </w:font>
  <w:font w:name="Meiryo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3"/>
      <w:spacing/>
      <w:jc w:val="center"/>
    </w:pPr>
    <w:r>
      <w:fldChar w:fldCharType="begin"/>
      <w:instrText xml:space="preserve"> PAGE </w:instrText>
      <w:fldChar w:fldCharType="separate"/>
      <w:t>21</w:t>
      <w:fldChar w:fldCharType="end"/>
    </w:r>
  </w:p>
  <w:p>
    <w:pPr>
      <w:pStyle w:val="para43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9"/>
      <w:rPr>
        <w:rFonts w:ascii="Garamond" w:hAnsi="Garamond"/>
      </w:rPr>
    </w:pPr>
    <w:r>
      <w:rPr>
        <w:rFonts w:ascii="Garamond" w:hAnsi="Garamond"/>
      </w:rPr>
      <w:t>ZZP-175/18</w:t>
      <w:tab/>
      <w:tab/>
      <w:tab/>
      <w:tab/>
      <w:tab/>
      <w:tab/>
      <w:tab/>
      <w:tab/>
      <w:tab/>
      <w:tab/>
      <w:tab/>
      <w:tab/>
      <w:tab/>
      <w:tab/>
      <w:tab/>
    </w:r>
    <w:r>
      <w:rPr>
        <w:rFonts w:ascii="Garamond" w:hAnsi="Garamond"/>
        <w:i/>
      </w:rPr>
      <w:t>Załącznik nr 2a do oferty</w:t>
    </w:r>
    <w:r>
      <w:rPr>
        <w:rFonts w:ascii="Garamond" w:hAnsi="Garamond"/>
      </w:rPr>
    </w:r>
  </w:p>
  <w:p>
    <w:pPr>
      <w:pStyle w:val="para29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pStyle w:val="para2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pStyle w:val="para3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pStyle w:val="para4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pStyle w:val="para5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pStyle w:val="para6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pStyle w:val="para7"/>
      <w:suff w:val="nothing"/>
      <w:lvlText w:val=""/>
      <w:lvlJc w:val="left"/>
      <w:pPr>
        <w:ind w:left="0" w:hanging="0"/>
      </w:pPr>
      <w:rPr/>
    </w:lvl>
  </w:abstractNum>
  <w:abstractNum w:abstractNumId="2">
    <w:multiLevelType w:val="hybridMultilevel"/>
    <w:name w:val="Numbered list 2"/>
    <w:lvl w:ilvl="0">
      <w:numFmt w:val="bullet"/>
      <w:suff w:val="tab"/>
      <w:lvlText w:val=""/>
      <w:lvlJc w:val="left"/>
      <w:pPr>
        <w:ind w:left="729" w:hanging="0"/>
      </w:pPr>
      <w:rPr>
        <w:rPr>
          <w:rFonts w:ascii="Symbol" w:hAnsi="Symbol" w:cs="Symbol"/>
        </w:rPr>
      </w:rPr>
    </w:lvl>
    <w:lvl w:ilvl="1">
      <w:numFmt w:val="bullet"/>
      <w:suff w:val="tab"/>
      <w:lvlText w:val="◦"/>
      <w:lvlJc w:val="left"/>
      <w:pPr>
        <w:ind w:left="1089" w:hanging="0"/>
      </w:pPr>
      <w:rPr>
        <w:rPr>
          <w:rFonts w:ascii="OpenSymbol" w:hAnsi="OpenSymbol" w:cs="OpenSymbol"/>
        </w:rPr>
      </w:rPr>
    </w:lvl>
    <w:lvl w:ilvl="2">
      <w:numFmt w:val="bullet"/>
      <w:suff w:val="tab"/>
      <w:lvlText w:val="▪"/>
      <w:lvlJc w:val="left"/>
      <w:pPr>
        <w:ind w:left="1449" w:hanging="0"/>
      </w:pPr>
      <w:rPr>
        <w:rPr>
          <w:rFonts w:ascii="OpenSymbol" w:hAnsi="OpenSymbol" w:cs="OpenSymbol"/>
        </w:rPr>
      </w:rPr>
    </w:lvl>
    <w:lvl w:ilvl="3">
      <w:numFmt w:val="bullet"/>
      <w:suff w:val="tab"/>
      <w:lvlText w:val=""/>
      <w:lvlJc w:val="left"/>
      <w:pPr>
        <w:ind w:left="1809" w:hanging="0"/>
      </w:pPr>
      <w:rPr>
        <w:rPr>
          <w:rFonts w:ascii="Symbol" w:hAnsi="Symbol" w:cs="Symbol"/>
        </w:rPr>
      </w:rPr>
    </w:lvl>
    <w:lvl w:ilvl="4">
      <w:numFmt w:val="bullet"/>
      <w:suff w:val="tab"/>
      <w:lvlText w:val="◦"/>
      <w:lvlJc w:val="left"/>
      <w:pPr>
        <w:ind w:left="2169" w:hanging="0"/>
      </w:pPr>
      <w:rPr>
        <w:rPr>
          <w:rFonts w:ascii="OpenSymbol" w:hAnsi="OpenSymbol" w:cs="OpenSymbol"/>
        </w:rPr>
      </w:rPr>
    </w:lvl>
    <w:lvl w:ilvl="5">
      <w:numFmt w:val="bullet"/>
      <w:suff w:val="tab"/>
      <w:lvlText w:val="▪"/>
      <w:lvlJc w:val="left"/>
      <w:pPr>
        <w:ind w:left="2529" w:hanging="0"/>
      </w:pPr>
      <w:rPr>
        <w:rPr>
          <w:rFonts w:ascii="OpenSymbol" w:hAnsi="OpenSymbol" w:cs="OpenSymbol"/>
        </w:rPr>
      </w:rPr>
    </w:lvl>
    <w:lvl w:ilvl="6">
      <w:numFmt w:val="bullet"/>
      <w:suff w:val="tab"/>
      <w:lvlText w:val=""/>
      <w:lvlJc w:val="left"/>
      <w:pPr>
        <w:ind w:left="2889" w:hanging="0"/>
      </w:pPr>
      <w:rPr>
        <w:rPr>
          <w:rFonts w:ascii="Symbol" w:hAnsi="Symbol" w:cs="Symbol"/>
        </w:rPr>
      </w:rPr>
    </w:lvl>
    <w:lvl w:ilvl="7">
      <w:numFmt w:val="bullet"/>
      <w:suff w:val="tab"/>
      <w:lvlText w:val="◦"/>
      <w:lvlJc w:val="left"/>
      <w:pPr>
        <w:ind w:left="3249" w:hanging="0"/>
      </w:pPr>
      <w:rPr>
        <w:rPr>
          <w:rFonts w:ascii="OpenSymbol" w:hAnsi="OpenSymbol" w:cs="OpenSymbol"/>
        </w:rPr>
      </w:rPr>
    </w:lvl>
    <w:lvl w:ilvl="8">
      <w:numFmt w:val="bullet"/>
      <w:suff w:val="tab"/>
      <w:lvlText w:val="▪"/>
      <w:lvlJc w:val="left"/>
      <w:pPr>
        <w:ind w:left="3609" w:hanging="0"/>
      </w:pPr>
      <w:rPr>
        <w:rPr>
          <w:rFonts w:ascii="OpenSymbol" w:hAnsi="OpenSymbol" w:cs="OpenSymbol"/>
        </w:rPr>
      </w:rPr>
    </w:lvl>
  </w:abstractNum>
  <w:abstractNum w:abstractNumId="3">
    <w:multiLevelType w:val="hybridMultilevel"/>
    <w:name w:val="Numbered list 3"/>
    <w:lvl w:ilvl="0">
      <w:numFmt w:val="bullet"/>
      <w:suff w:val="tab"/>
      <w:lvlText w:val=""/>
      <w:lvlJc w:val="left"/>
      <w:pPr>
        <w:ind w:left="729" w:hanging="0"/>
      </w:pPr>
      <w:rPr>
        <w:rPr>
          <w:rFonts w:ascii="Symbol" w:hAnsi="Symbol" w:cs="Symbol"/>
        </w:rPr>
      </w:rPr>
    </w:lvl>
    <w:lvl w:ilvl="1">
      <w:numFmt w:val="bullet"/>
      <w:suff w:val="tab"/>
      <w:lvlText w:val="◦"/>
      <w:lvlJc w:val="left"/>
      <w:pPr>
        <w:ind w:left="1089" w:hanging="0"/>
      </w:pPr>
      <w:rPr>
        <w:rPr>
          <w:rFonts w:ascii="OpenSymbol" w:hAnsi="OpenSymbol" w:cs="OpenSymbol"/>
        </w:rPr>
      </w:rPr>
    </w:lvl>
    <w:lvl w:ilvl="2">
      <w:numFmt w:val="bullet"/>
      <w:suff w:val="tab"/>
      <w:lvlText w:val="▪"/>
      <w:lvlJc w:val="left"/>
      <w:pPr>
        <w:ind w:left="1449" w:hanging="0"/>
      </w:pPr>
      <w:rPr>
        <w:rPr>
          <w:rFonts w:ascii="OpenSymbol" w:hAnsi="OpenSymbol" w:cs="OpenSymbol"/>
        </w:rPr>
      </w:rPr>
    </w:lvl>
    <w:lvl w:ilvl="3">
      <w:numFmt w:val="bullet"/>
      <w:suff w:val="tab"/>
      <w:lvlText w:val=""/>
      <w:lvlJc w:val="left"/>
      <w:pPr>
        <w:ind w:left="1809" w:hanging="0"/>
      </w:pPr>
      <w:rPr>
        <w:rPr>
          <w:rFonts w:ascii="Symbol" w:hAnsi="Symbol" w:cs="Symbol"/>
        </w:rPr>
      </w:rPr>
    </w:lvl>
    <w:lvl w:ilvl="4">
      <w:numFmt w:val="bullet"/>
      <w:suff w:val="tab"/>
      <w:lvlText w:val="◦"/>
      <w:lvlJc w:val="left"/>
      <w:pPr>
        <w:ind w:left="2169" w:hanging="0"/>
      </w:pPr>
      <w:rPr>
        <w:rPr>
          <w:rFonts w:ascii="OpenSymbol" w:hAnsi="OpenSymbol" w:cs="OpenSymbol"/>
        </w:rPr>
      </w:rPr>
    </w:lvl>
    <w:lvl w:ilvl="5">
      <w:numFmt w:val="bullet"/>
      <w:suff w:val="tab"/>
      <w:lvlText w:val="▪"/>
      <w:lvlJc w:val="left"/>
      <w:pPr>
        <w:ind w:left="2529" w:hanging="0"/>
      </w:pPr>
      <w:rPr>
        <w:rPr>
          <w:rFonts w:ascii="OpenSymbol" w:hAnsi="OpenSymbol" w:cs="OpenSymbol"/>
        </w:rPr>
      </w:rPr>
    </w:lvl>
    <w:lvl w:ilvl="6">
      <w:numFmt w:val="bullet"/>
      <w:suff w:val="tab"/>
      <w:lvlText w:val=""/>
      <w:lvlJc w:val="left"/>
      <w:pPr>
        <w:ind w:left="2889" w:hanging="0"/>
      </w:pPr>
      <w:rPr>
        <w:rPr>
          <w:rFonts w:ascii="Symbol" w:hAnsi="Symbol" w:cs="Symbol"/>
        </w:rPr>
      </w:rPr>
    </w:lvl>
    <w:lvl w:ilvl="7">
      <w:numFmt w:val="bullet"/>
      <w:suff w:val="tab"/>
      <w:lvlText w:val="◦"/>
      <w:lvlJc w:val="left"/>
      <w:pPr>
        <w:ind w:left="3249" w:hanging="0"/>
      </w:pPr>
      <w:rPr>
        <w:rPr>
          <w:rFonts w:ascii="OpenSymbol" w:hAnsi="OpenSymbol" w:cs="OpenSymbol"/>
        </w:rPr>
      </w:rPr>
    </w:lvl>
    <w:lvl w:ilvl="8">
      <w:numFmt w:val="bullet"/>
      <w:suff w:val="tab"/>
      <w:lvlText w:val="▪"/>
      <w:lvlJc w:val="left"/>
      <w:pPr>
        <w:ind w:left="3609" w:hanging="0"/>
      </w:pPr>
      <w:rPr>
        <w:rPr>
          <w:rFonts w:ascii="OpenSymbol" w:hAnsi="OpenSymbol" w:cs="OpenSymbol"/>
        </w:rPr>
      </w:rPr>
    </w:lvl>
  </w:abstractNum>
  <w:abstractNum w:abstractNumId="4">
    <w:multiLevelType w:val="hybridMultilevel"/>
    <w:name w:val="Numbered list 4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720" w:hanging="0"/>
      </w:pPr>
      <w:rPr/>
    </w:lvl>
    <w:lvl w:ilvl="2">
      <w:start w:val="1"/>
      <w:numFmt w:val="decimal"/>
      <w:suff w:val="tab"/>
      <w:lvlText w:val="%3."/>
      <w:lvlJc w:val="left"/>
      <w:pPr>
        <w:ind w:left="1080" w:hanging="0"/>
      </w:pPr>
      <w:rPr/>
    </w:lvl>
    <w:lvl w:ilvl="3">
      <w:start w:val="1"/>
      <w:numFmt w:val="decimal"/>
      <w:suff w:val="tab"/>
      <w:lvlText w:val="%4."/>
      <w:lvlJc w:val="left"/>
      <w:pPr>
        <w:ind w:left="1440" w:hanging="0"/>
      </w:pPr>
      <w:rPr/>
    </w:lvl>
    <w:lvl w:ilvl="4">
      <w:start w:val="1"/>
      <w:numFmt w:val="decimal"/>
      <w:suff w:val="tab"/>
      <w:lvlText w:val="%5."/>
      <w:lvlJc w:val="left"/>
      <w:pPr>
        <w:ind w:left="1800" w:hanging="0"/>
      </w:pPr>
      <w:rPr/>
    </w:lvl>
    <w:lvl w:ilvl="5">
      <w:start w:val="1"/>
      <w:numFmt w:val="decimal"/>
      <w:suff w:val="tab"/>
      <w:lvlText w:val="%6."/>
      <w:lvlJc w:val="left"/>
      <w:pPr>
        <w:ind w:left="2160" w:hanging="0"/>
      </w:pPr>
      <w:rPr/>
    </w:lvl>
    <w:lvl w:ilvl="6">
      <w:start w:val="1"/>
      <w:numFmt w:val="decimal"/>
      <w:suff w:val="tab"/>
      <w:lvlText w:val="%7."/>
      <w:lvlJc w:val="left"/>
      <w:pPr>
        <w:ind w:left="2520" w:hanging="0"/>
      </w:pPr>
      <w:rPr/>
    </w:lvl>
    <w:lvl w:ilvl="7">
      <w:start w:val="1"/>
      <w:numFmt w:val="decimal"/>
      <w:suff w:val="tab"/>
      <w:lvlText w:val="%8."/>
      <w:lvlJc w:val="left"/>
      <w:pPr>
        <w:ind w:left="2880" w:hanging="0"/>
      </w:pPr>
      <w:rPr/>
    </w:lvl>
    <w:lvl w:ilvl="8">
      <w:start w:val="1"/>
      <w:numFmt w:val="decimal"/>
      <w:suff w:val="tab"/>
      <w:lvlText w:val="%9."/>
      <w:lvlJc w:val="left"/>
      <w:pPr>
        <w:ind w:left="3240" w:hanging="0"/>
      </w:pPr>
      <w:rPr/>
    </w:lvl>
  </w:abstractNum>
  <w:abstractNum w:abstractNumId="5">
    <w:multiLevelType w:val="hybridMultilevel"/>
    <w:name w:val="Numbered list 5"/>
    <w:lvl w:ilvl="0">
      <w:numFmt w:val="bullet"/>
      <w:suff w:val="tab"/>
      <w:lvlText w:val="-"/>
      <w:lvlJc w:val="left"/>
      <w:pPr>
        <w:ind w:left="360" w:hanging="0"/>
      </w:pPr>
      <w:rPr>
        <w:rPr>
          <w:rFonts w:ascii="Times New Roman" w:hAnsi="Times New Roman" w:cs="Times New Roman"/>
        </w:rPr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  <w:rPr/>
    </w:lvl>
    <w:lvl w:ilvl="2">
      <w:start w:val="1"/>
      <w:numFmt w:val="decimal"/>
      <w:suff w:val="tab"/>
      <w:lvlText w:val="%3."/>
      <w:lvlJc w:val="left"/>
      <w:pPr>
        <w:ind w:left="1080" w:hanging="0"/>
      </w:pPr>
      <w:rPr/>
    </w:lvl>
    <w:lvl w:ilvl="3">
      <w:start w:val="1"/>
      <w:numFmt w:val="decimal"/>
      <w:suff w:val="tab"/>
      <w:lvlText w:val="%4."/>
      <w:lvlJc w:val="left"/>
      <w:pPr>
        <w:ind w:left="1440" w:hanging="0"/>
      </w:pPr>
      <w:rPr/>
    </w:lvl>
    <w:lvl w:ilvl="4">
      <w:start w:val="1"/>
      <w:numFmt w:val="decimal"/>
      <w:suff w:val="tab"/>
      <w:lvlText w:val="%5."/>
      <w:lvlJc w:val="left"/>
      <w:pPr>
        <w:ind w:left="1800" w:hanging="0"/>
      </w:pPr>
      <w:rPr/>
    </w:lvl>
    <w:lvl w:ilvl="5">
      <w:start w:val="1"/>
      <w:numFmt w:val="decimal"/>
      <w:suff w:val="tab"/>
      <w:lvlText w:val="%6."/>
      <w:lvlJc w:val="left"/>
      <w:pPr>
        <w:ind w:left="2160" w:hanging="0"/>
      </w:pPr>
      <w:rPr/>
    </w:lvl>
    <w:lvl w:ilvl="6">
      <w:start w:val="1"/>
      <w:numFmt w:val="decimal"/>
      <w:suff w:val="tab"/>
      <w:lvlText w:val="%7."/>
      <w:lvlJc w:val="left"/>
      <w:pPr>
        <w:ind w:left="2520" w:hanging="0"/>
      </w:pPr>
      <w:rPr/>
    </w:lvl>
    <w:lvl w:ilvl="7">
      <w:start w:val="1"/>
      <w:numFmt w:val="decimal"/>
      <w:suff w:val="tab"/>
      <w:lvlText w:val="%8."/>
      <w:lvlJc w:val="left"/>
      <w:pPr>
        <w:ind w:left="2880" w:hanging="0"/>
      </w:pPr>
      <w:rPr/>
    </w:lvl>
    <w:lvl w:ilvl="8">
      <w:start w:val="1"/>
      <w:numFmt w:val="decimal"/>
      <w:suff w:val="tab"/>
      <w:lvlText w:val="%9."/>
      <w:lvlJc w:val="left"/>
      <w:pPr>
        <w:ind w:left="3240" w:hanging="0"/>
      </w:pPr>
      <w:rPr/>
    </w:lvl>
  </w:abstractNum>
  <w:abstractNum w:abstractNumId="6">
    <w:multiLevelType w:val="hybridMultilevel"/>
    <w:name w:val="Numbered list 6"/>
    <w:lvl w:ilvl="0">
      <w:numFmt w:val="bullet"/>
      <w:suff w:val="tab"/>
      <w:lvlText w:val=""/>
      <w:lvlJc w:val="left"/>
      <w:pPr>
        <w:ind w:left="1068" w:hanging="0"/>
      </w:pPr>
      <w:rPr>
        <w:rPr>
          <w:rFonts w:ascii="Symbol" w:hAnsi="Symbol" w:cs="Symbol"/>
        </w:rPr>
      </w:rPr>
    </w:lvl>
    <w:lvl w:ilvl="1">
      <w:numFmt w:val="bullet"/>
      <w:suff w:val="tab"/>
      <w:lvlText w:val="◦"/>
      <w:lvlJc w:val="left"/>
      <w:pPr>
        <w:ind w:left="1428" w:hanging="0"/>
      </w:pPr>
      <w:rPr>
        <w:rPr>
          <w:rFonts w:ascii="OpenSymbol" w:hAnsi="OpenSymbol" w:cs="OpenSymbol"/>
        </w:rPr>
      </w:rPr>
    </w:lvl>
    <w:lvl w:ilvl="2">
      <w:numFmt w:val="bullet"/>
      <w:suff w:val="tab"/>
      <w:lvlText w:val="▪"/>
      <w:lvlJc w:val="left"/>
      <w:pPr>
        <w:ind w:left="1788" w:hanging="0"/>
      </w:pPr>
      <w:rPr>
        <w:rPr>
          <w:rFonts w:ascii="OpenSymbol" w:hAnsi="OpenSymbol" w:cs="OpenSymbol"/>
        </w:rPr>
      </w:rPr>
    </w:lvl>
    <w:lvl w:ilvl="3">
      <w:numFmt w:val="bullet"/>
      <w:suff w:val="tab"/>
      <w:lvlText w:val=""/>
      <w:lvlJc w:val="left"/>
      <w:pPr>
        <w:ind w:left="2148" w:hanging="0"/>
      </w:pPr>
      <w:rPr>
        <w:rPr>
          <w:rFonts w:ascii="Symbol" w:hAnsi="Symbol" w:cs="Symbol"/>
        </w:rPr>
      </w:rPr>
    </w:lvl>
    <w:lvl w:ilvl="4">
      <w:numFmt w:val="bullet"/>
      <w:suff w:val="tab"/>
      <w:lvlText w:val="◦"/>
      <w:lvlJc w:val="left"/>
      <w:pPr>
        <w:ind w:left="2508" w:hanging="0"/>
      </w:pPr>
      <w:rPr>
        <w:rPr>
          <w:rFonts w:ascii="OpenSymbol" w:hAnsi="OpenSymbol" w:cs="OpenSymbol"/>
        </w:rPr>
      </w:rPr>
    </w:lvl>
    <w:lvl w:ilvl="5">
      <w:numFmt w:val="bullet"/>
      <w:suff w:val="tab"/>
      <w:lvlText w:val="▪"/>
      <w:lvlJc w:val="left"/>
      <w:pPr>
        <w:ind w:left="2868" w:hanging="0"/>
      </w:pPr>
      <w:rPr>
        <w:rPr>
          <w:rFonts w:ascii="OpenSymbol" w:hAnsi="OpenSymbol" w:cs="OpenSymbol"/>
        </w:rPr>
      </w:rPr>
    </w:lvl>
    <w:lvl w:ilvl="6">
      <w:numFmt w:val="bullet"/>
      <w:suff w:val="tab"/>
      <w:lvlText w:val=""/>
      <w:lvlJc w:val="left"/>
      <w:pPr>
        <w:ind w:left="3228" w:hanging="0"/>
      </w:pPr>
      <w:rPr>
        <w:rPr>
          <w:rFonts w:ascii="Symbol" w:hAnsi="Symbol" w:cs="Symbol"/>
        </w:rPr>
      </w:rPr>
    </w:lvl>
    <w:lvl w:ilvl="7">
      <w:numFmt w:val="bullet"/>
      <w:suff w:val="tab"/>
      <w:lvlText w:val="◦"/>
      <w:lvlJc w:val="left"/>
      <w:pPr>
        <w:ind w:left="3588" w:hanging="0"/>
      </w:pPr>
      <w:rPr>
        <w:rPr>
          <w:rFonts w:ascii="OpenSymbol" w:hAnsi="OpenSymbol" w:cs="OpenSymbol"/>
        </w:rPr>
      </w:rPr>
    </w:lvl>
    <w:lvl w:ilvl="8">
      <w:numFmt w:val="bullet"/>
      <w:suff w:val="tab"/>
      <w:lvlText w:val="▪"/>
      <w:lvlJc w:val="left"/>
      <w:pPr>
        <w:ind w:left="3948" w:hanging="0"/>
      </w:pPr>
      <w:rPr>
        <w:rPr>
          <w:rFonts w:ascii="OpenSymbol" w:hAnsi="OpenSymbol" w:cs="OpenSymbol"/>
        </w:rPr>
      </w:rPr>
    </w:lvl>
  </w:abstractNum>
  <w:abstractNum w:abstractNumId="7">
    <w:multiLevelType w:val="hybridMultilevel"/>
    <w:name w:val="Numbered list 7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  <w:rPr/>
    </w:lvl>
    <w:lvl w:ilvl="2">
      <w:start w:val="1"/>
      <w:numFmt w:val="decimal"/>
      <w:suff w:val="tab"/>
      <w:lvlText w:val="%3."/>
      <w:lvlJc w:val="left"/>
      <w:pPr>
        <w:ind w:left="1080" w:hanging="0"/>
      </w:pPr>
      <w:rPr/>
    </w:lvl>
    <w:lvl w:ilvl="3">
      <w:start w:val="1"/>
      <w:numFmt w:val="decimal"/>
      <w:suff w:val="tab"/>
      <w:lvlText w:val="%4."/>
      <w:lvlJc w:val="left"/>
      <w:pPr>
        <w:ind w:left="1440" w:hanging="0"/>
      </w:pPr>
      <w:rPr/>
    </w:lvl>
    <w:lvl w:ilvl="4">
      <w:start w:val="1"/>
      <w:numFmt w:val="decimal"/>
      <w:suff w:val="tab"/>
      <w:lvlText w:val="%5."/>
      <w:lvlJc w:val="left"/>
      <w:pPr>
        <w:ind w:left="1800" w:hanging="0"/>
      </w:pPr>
      <w:rPr/>
    </w:lvl>
    <w:lvl w:ilvl="5">
      <w:start w:val="1"/>
      <w:numFmt w:val="decimal"/>
      <w:suff w:val="tab"/>
      <w:lvlText w:val="%6."/>
      <w:lvlJc w:val="left"/>
      <w:pPr>
        <w:ind w:left="2160" w:hanging="0"/>
      </w:pPr>
      <w:rPr/>
    </w:lvl>
    <w:lvl w:ilvl="6">
      <w:start w:val="1"/>
      <w:numFmt w:val="decimal"/>
      <w:suff w:val="tab"/>
      <w:lvlText w:val="%7."/>
      <w:lvlJc w:val="left"/>
      <w:pPr>
        <w:ind w:left="2520" w:hanging="0"/>
      </w:pPr>
      <w:rPr/>
    </w:lvl>
    <w:lvl w:ilvl="7">
      <w:start w:val="1"/>
      <w:numFmt w:val="decimal"/>
      <w:suff w:val="tab"/>
      <w:lvlText w:val="%8."/>
      <w:lvlJc w:val="left"/>
      <w:pPr>
        <w:ind w:left="2880" w:hanging="0"/>
      </w:pPr>
      <w:rPr/>
    </w:lvl>
    <w:lvl w:ilvl="8">
      <w:start w:val="1"/>
      <w:numFmt w:val="decimal"/>
      <w:suff w:val="tab"/>
      <w:lvlText w:val="%9."/>
      <w:lvlJc w:val="left"/>
      <w:pPr>
        <w:ind w:left="3240" w:hanging="0"/>
      </w:pPr>
      <w:rPr/>
    </w:lvl>
  </w:abstractNum>
  <w:abstractNum w:abstractNumId="8">
    <w:multiLevelType w:val="hybridMultilevel"/>
    <w:name w:val="Numbered list 8"/>
    <w:lvl w:ilvl="0">
      <w:numFmt w:val="bullet"/>
      <w:suff w:val="tab"/>
      <w:lvlText w:val=""/>
      <w:lvlJc w:val="left"/>
      <w:pPr>
        <w:ind w:left="390" w:hanging="0"/>
      </w:pPr>
      <w:rPr>
        <w:rPr>
          <w:rFonts w:ascii="Symbol" w:hAnsi="Symbol" w:cs="Symbol"/>
        </w:rPr>
      </w:rPr>
    </w:lvl>
    <w:lvl w:ilvl="1">
      <w:numFmt w:val="bullet"/>
      <w:suff w:val="tab"/>
      <w:lvlText w:val="◦"/>
      <w:lvlJc w:val="left"/>
      <w:pPr>
        <w:ind w:left="750" w:hanging="0"/>
      </w:pPr>
      <w:rPr>
        <w:rPr>
          <w:rFonts w:ascii="OpenSymbol" w:hAnsi="OpenSymbol" w:cs="OpenSymbol"/>
        </w:rPr>
      </w:rPr>
    </w:lvl>
    <w:lvl w:ilvl="2">
      <w:numFmt w:val="bullet"/>
      <w:suff w:val="tab"/>
      <w:lvlText w:val="▪"/>
      <w:lvlJc w:val="left"/>
      <w:pPr>
        <w:ind w:left="1110" w:hanging="0"/>
      </w:pPr>
      <w:rPr>
        <w:rPr>
          <w:rFonts w:ascii="OpenSymbol" w:hAnsi="OpenSymbol" w:cs="OpenSymbol"/>
        </w:rPr>
      </w:rPr>
    </w:lvl>
    <w:lvl w:ilvl="3">
      <w:numFmt w:val="bullet"/>
      <w:suff w:val="tab"/>
      <w:lvlText w:val=""/>
      <w:lvlJc w:val="left"/>
      <w:pPr>
        <w:ind w:left="1470" w:hanging="0"/>
      </w:pPr>
      <w:rPr>
        <w:rPr>
          <w:rFonts w:ascii="Symbol" w:hAnsi="Symbol" w:cs="Symbol"/>
        </w:rPr>
      </w:rPr>
    </w:lvl>
    <w:lvl w:ilvl="4">
      <w:numFmt w:val="bullet"/>
      <w:suff w:val="tab"/>
      <w:lvlText w:val="◦"/>
      <w:lvlJc w:val="left"/>
      <w:pPr>
        <w:ind w:left="1830" w:hanging="0"/>
      </w:pPr>
      <w:rPr>
        <w:rPr>
          <w:rFonts w:ascii="OpenSymbol" w:hAnsi="OpenSymbol" w:cs="OpenSymbol"/>
        </w:rPr>
      </w:rPr>
    </w:lvl>
    <w:lvl w:ilvl="5">
      <w:numFmt w:val="bullet"/>
      <w:suff w:val="tab"/>
      <w:lvlText w:val="▪"/>
      <w:lvlJc w:val="left"/>
      <w:pPr>
        <w:ind w:left="2190" w:hanging="0"/>
      </w:pPr>
      <w:rPr>
        <w:rPr>
          <w:rFonts w:ascii="OpenSymbol" w:hAnsi="OpenSymbol" w:cs="OpenSymbol"/>
        </w:rPr>
      </w:rPr>
    </w:lvl>
    <w:lvl w:ilvl="6">
      <w:numFmt w:val="bullet"/>
      <w:suff w:val="tab"/>
      <w:lvlText w:val=""/>
      <w:lvlJc w:val="left"/>
      <w:pPr>
        <w:ind w:left="2550" w:hanging="0"/>
      </w:pPr>
      <w:rPr>
        <w:rPr>
          <w:rFonts w:ascii="Symbol" w:hAnsi="Symbol" w:cs="Symbol"/>
        </w:rPr>
      </w:rPr>
    </w:lvl>
    <w:lvl w:ilvl="7">
      <w:numFmt w:val="bullet"/>
      <w:suff w:val="tab"/>
      <w:lvlText w:val="◦"/>
      <w:lvlJc w:val="left"/>
      <w:pPr>
        <w:ind w:left="2910" w:hanging="0"/>
      </w:pPr>
      <w:rPr>
        <w:rPr>
          <w:rFonts w:ascii="OpenSymbol" w:hAnsi="OpenSymbol" w:cs="OpenSymbol"/>
        </w:rPr>
      </w:rPr>
    </w:lvl>
    <w:lvl w:ilvl="8">
      <w:numFmt w:val="bullet"/>
      <w:suff w:val="tab"/>
      <w:lvlText w:val="▪"/>
      <w:lvlJc w:val="left"/>
      <w:pPr>
        <w:ind w:left="3270" w:hanging="0"/>
      </w:pPr>
      <w:rPr>
        <w:rPr>
          <w:rFonts w:ascii="OpenSymbol" w:hAnsi="OpenSymbol" w:cs="OpenSymbol"/>
        </w:rPr>
      </w:rPr>
    </w:lvl>
  </w:abstractNum>
  <w:abstractNum w:abstractNumId="9">
    <w:multiLevelType w:val="hybridMultilevel"/>
    <w:name w:val="Numbered list 9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cs="Symbol"/>
        </w:rPr>
      </w:rPr>
    </w:lvl>
    <w:lvl w:ilvl="1">
      <w:numFmt w:val="bullet"/>
      <w:suff w:val="tab"/>
      <w:lvlText w:val=""/>
      <w:lvlJc w:val="left"/>
      <w:pPr>
        <w:ind w:left="720" w:hanging="0"/>
      </w:pPr>
      <w:rPr>
        <w:rPr>
          <w:rFonts w:ascii="Symbol" w:hAnsi="Symbol" w:cs="Symbol"/>
        </w:rPr>
      </w:rPr>
    </w:lvl>
    <w:lvl w:ilvl="2">
      <w:numFmt w:val="bullet"/>
      <w:suff w:val="tab"/>
      <w:lvlText w:val=""/>
      <w:lvlJc w:val="left"/>
      <w:pPr>
        <w:ind w:left="1080" w:hanging="0"/>
      </w:pPr>
      <w:rPr>
        <w:rPr>
          <w:rFonts w:ascii="Symbol" w:hAnsi="Symbol" w:cs="Symbol"/>
        </w:rPr>
      </w:rPr>
    </w:lvl>
    <w:lvl w:ilvl="3">
      <w:numFmt w:val="bullet"/>
      <w:suff w:val="tab"/>
      <w:lvlText w:val=""/>
      <w:lvlJc w:val="left"/>
      <w:pPr>
        <w:ind w:left="1440" w:hanging="0"/>
      </w:pPr>
      <w:rPr>
        <w:rPr>
          <w:rFonts w:ascii="Symbol" w:hAnsi="Symbol" w:cs="Symbol"/>
        </w:rPr>
      </w:rPr>
    </w:lvl>
    <w:lvl w:ilvl="4">
      <w:numFmt w:val="bullet"/>
      <w:suff w:val="tab"/>
      <w:lvlText w:val=""/>
      <w:lvlJc w:val="left"/>
      <w:pPr>
        <w:ind w:left="1800" w:hanging="0"/>
      </w:pPr>
      <w:rPr>
        <w:rPr>
          <w:rFonts w:ascii="Symbol" w:hAnsi="Symbol" w:cs="Symbol"/>
        </w:rPr>
      </w:rPr>
    </w:lvl>
    <w:lvl w:ilvl="5">
      <w:numFmt w:val="bullet"/>
      <w:suff w:val="tab"/>
      <w:lvlText w:val=""/>
      <w:lvlJc w:val="left"/>
      <w:pPr>
        <w:ind w:left="2160" w:hanging="0"/>
      </w:pPr>
      <w:rPr>
        <w:rPr>
          <w:rFonts w:ascii="Symbol" w:hAnsi="Symbol" w:cs="Symbol"/>
        </w:rPr>
      </w:rPr>
    </w:lvl>
    <w:lvl w:ilvl="6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 w:cs="Symbol"/>
        </w:rPr>
      </w:rPr>
    </w:lvl>
    <w:lvl w:ilvl="7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 w:cs="Symbol"/>
        </w:rPr>
      </w:rPr>
    </w:lvl>
    <w:lvl w:ilvl="8">
      <w:numFmt w:val="bullet"/>
      <w:suff w:val="tab"/>
      <w:lvlText w:val=""/>
      <w:lvlJc w:val="left"/>
      <w:pPr>
        <w:ind w:left="3240" w:hanging="0"/>
      </w:pPr>
      <w:rPr>
        <w:rPr>
          <w:rFonts w:ascii="Symbol" w:hAnsi="Symbol" w:cs="Symbol"/>
        </w:rPr>
      </w:rPr>
    </w:lvl>
  </w:abstractNum>
  <w:abstractNum w:abstractNumId="10">
    <w:multiLevelType w:val="hybridMultilevel"/>
    <w:name w:val="Numbered list 10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decimal"/>
      <w:suff w:val="tab"/>
      <w:lvlText w:val="%2."/>
      <w:lvlJc w:val="left"/>
      <w:pPr>
        <w:ind w:left="720" w:hanging="0"/>
      </w:pPr>
      <w:rPr/>
    </w:lvl>
    <w:lvl w:ilvl="2">
      <w:start w:val="1"/>
      <w:numFmt w:val="decimal"/>
      <w:suff w:val="tab"/>
      <w:lvlText w:val="%3."/>
      <w:lvlJc w:val="left"/>
      <w:pPr>
        <w:ind w:left="1080" w:hanging="0"/>
      </w:pPr>
      <w:rPr/>
    </w:lvl>
    <w:lvl w:ilvl="3">
      <w:start w:val="1"/>
      <w:numFmt w:val="decimal"/>
      <w:suff w:val="tab"/>
      <w:lvlText w:val="%4."/>
      <w:lvlJc w:val="left"/>
      <w:pPr>
        <w:ind w:left="1440" w:hanging="0"/>
      </w:pPr>
      <w:rPr/>
    </w:lvl>
    <w:lvl w:ilvl="4">
      <w:start w:val="1"/>
      <w:numFmt w:val="decimal"/>
      <w:suff w:val="tab"/>
      <w:lvlText w:val="%5."/>
      <w:lvlJc w:val="left"/>
      <w:pPr>
        <w:ind w:left="1800" w:hanging="0"/>
      </w:pPr>
      <w:rPr/>
    </w:lvl>
    <w:lvl w:ilvl="5">
      <w:start w:val="1"/>
      <w:numFmt w:val="decimal"/>
      <w:suff w:val="tab"/>
      <w:lvlText w:val="%6."/>
      <w:lvlJc w:val="left"/>
      <w:pPr>
        <w:ind w:left="2160" w:hanging="0"/>
      </w:pPr>
      <w:rPr/>
    </w:lvl>
    <w:lvl w:ilvl="6">
      <w:start w:val="1"/>
      <w:numFmt w:val="decimal"/>
      <w:suff w:val="tab"/>
      <w:lvlText w:val="%7."/>
      <w:lvlJc w:val="left"/>
      <w:pPr>
        <w:ind w:left="2520" w:hanging="0"/>
      </w:pPr>
      <w:rPr/>
    </w:lvl>
    <w:lvl w:ilvl="7">
      <w:start w:val="1"/>
      <w:numFmt w:val="decimal"/>
      <w:suff w:val="tab"/>
      <w:lvlText w:val="%8."/>
      <w:lvlJc w:val="left"/>
      <w:pPr>
        <w:ind w:left="2880" w:hanging="0"/>
      </w:pPr>
      <w:rPr/>
    </w:lvl>
    <w:lvl w:ilvl="8">
      <w:start w:val="1"/>
      <w:numFmt w:val="decimal"/>
      <w:suff w:val="tab"/>
      <w:lvlText w:val="%9."/>
      <w:lvlJc w:val="left"/>
      <w:pPr>
        <w:ind w:left="3240" w:hanging="0"/>
      </w:pPr>
      <w:rPr/>
    </w:lvl>
  </w:abstractNum>
  <w:abstractNum w:abstractNumId="11">
    <w:multiLevelType w:val="hybridMultilevel"/>
    <w:name w:val="Numbered list 11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  <w:rPr/>
    </w:lvl>
    <w:lvl w:ilvl="2">
      <w:start w:val="1"/>
      <w:numFmt w:val="decimal"/>
      <w:suff w:val="tab"/>
      <w:lvlText w:val="%3."/>
      <w:lvlJc w:val="left"/>
      <w:pPr>
        <w:ind w:left="1080" w:hanging="0"/>
      </w:pPr>
      <w:rPr/>
    </w:lvl>
    <w:lvl w:ilvl="3">
      <w:start w:val="1"/>
      <w:numFmt w:val="decimal"/>
      <w:suff w:val="tab"/>
      <w:lvlText w:val="%4."/>
      <w:lvlJc w:val="left"/>
      <w:pPr>
        <w:ind w:left="1440" w:hanging="0"/>
      </w:pPr>
      <w:rPr/>
    </w:lvl>
    <w:lvl w:ilvl="4">
      <w:start w:val="1"/>
      <w:numFmt w:val="decimal"/>
      <w:suff w:val="tab"/>
      <w:lvlText w:val="%5."/>
      <w:lvlJc w:val="left"/>
      <w:pPr>
        <w:ind w:left="1800" w:hanging="0"/>
      </w:pPr>
      <w:rPr/>
    </w:lvl>
    <w:lvl w:ilvl="5">
      <w:start w:val="1"/>
      <w:numFmt w:val="decimal"/>
      <w:suff w:val="tab"/>
      <w:lvlText w:val="%6."/>
      <w:lvlJc w:val="left"/>
      <w:pPr>
        <w:ind w:left="2160" w:hanging="0"/>
      </w:pPr>
      <w:rPr/>
    </w:lvl>
    <w:lvl w:ilvl="6">
      <w:start w:val="1"/>
      <w:numFmt w:val="decimal"/>
      <w:suff w:val="tab"/>
      <w:lvlText w:val="%7."/>
      <w:lvlJc w:val="left"/>
      <w:pPr>
        <w:ind w:left="2520" w:hanging="0"/>
      </w:pPr>
      <w:rPr/>
    </w:lvl>
    <w:lvl w:ilvl="7">
      <w:start w:val="1"/>
      <w:numFmt w:val="decimal"/>
      <w:suff w:val="tab"/>
      <w:lvlText w:val="%8."/>
      <w:lvlJc w:val="left"/>
      <w:pPr>
        <w:ind w:left="2880" w:hanging="0"/>
      </w:pPr>
      <w:rPr/>
    </w:lvl>
    <w:lvl w:ilvl="8">
      <w:start w:val="1"/>
      <w:numFmt w:val="decimal"/>
      <w:suff w:val="tab"/>
      <w:lvlText w:val="%9."/>
      <w:lvlJc w:val="left"/>
      <w:pPr>
        <w:ind w:left="3240" w:hanging="0"/>
      </w:pPr>
      <w:rPr/>
    </w:lvl>
  </w:abstractNum>
  <w:abstractNum w:abstractNumId="12">
    <w:multiLevelType w:val="hybridMultilevel"/>
    <w:name w:val="Numbered list 12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  <w:rPr/>
    </w:lvl>
    <w:lvl w:ilvl="2">
      <w:start w:val="1"/>
      <w:numFmt w:val="decimal"/>
      <w:suff w:val="tab"/>
      <w:lvlText w:val="%3."/>
      <w:lvlJc w:val="left"/>
      <w:pPr>
        <w:ind w:left="1080" w:hanging="0"/>
      </w:pPr>
      <w:rPr/>
    </w:lvl>
    <w:lvl w:ilvl="3">
      <w:start w:val="1"/>
      <w:numFmt w:val="decimal"/>
      <w:suff w:val="tab"/>
      <w:lvlText w:val="%4."/>
      <w:lvlJc w:val="left"/>
      <w:pPr>
        <w:ind w:left="1440" w:hanging="0"/>
      </w:pPr>
      <w:rPr/>
    </w:lvl>
    <w:lvl w:ilvl="4">
      <w:start w:val="1"/>
      <w:numFmt w:val="decimal"/>
      <w:suff w:val="tab"/>
      <w:lvlText w:val="%5."/>
      <w:lvlJc w:val="left"/>
      <w:pPr>
        <w:ind w:left="1800" w:hanging="0"/>
      </w:pPr>
      <w:rPr/>
    </w:lvl>
    <w:lvl w:ilvl="5">
      <w:start w:val="1"/>
      <w:numFmt w:val="decimal"/>
      <w:suff w:val="tab"/>
      <w:lvlText w:val="%6."/>
      <w:lvlJc w:val="left"/>
      <w:pPr>
        <w:ind w:left="2160" w:hanging="0"/>
      </w:pPr>
      <w:rPr/>
    </w:lvl>
    <w:lvl w:ilvl="6">
      <w:start w:val="1"/>
      <w:numFmt w:val="decimal"/>
      <w:suff w:val="tab"/>
      <w:lvlText w:val="%7."/>
      <w:lvlJc w:val="left"/>
      <w:pPr>
        <w:ind w:left="2520" w:hanging="0"/>
      </w:pPr>
      <w:rPr/>
    </w:lvl>
    <w:lvl w:ilvl="7">
      <w:start w:val="1"/>
      <w:numFmt w:val="decimal"/>
      <w:suff w:val="tab"/>
      <w:lvlText w:val="%8."/>
      <w:lvlJc w:val="left"/>
      <w:pPr>
        <w:ind w:left="2880" w:hanging="0"/>
      </w:pPr>
      <w:rPr/>
    </w:lvl>
    <w:lvl w:ilvl="8">
      <w:start w:val="1"/>
      <w:numFmt w:val="decimal"/>
      <w:suff w:val="tab"/>
      <w:lvlText w:val="%9."/>
      <w:lvlJc w:val="left"/>
      <w:pPr>
        <w:ind w:left="3240" w:hanging="0"/>
      </w:pPr>
      <w:rPr/>
    </w:lvl>
  </w:abstractNum>
  <w:abstractNum w:abstractNumId="13">
    <w:multiLevelType w:val="singleLevel"/>
    <w:name w:val="Bullet 13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9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6"/>
    <w:tmLastPosSelect w:val="1"/>
    <w:tmLastPosFrameIdx w:val="22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36695654" w:val="934" w:fileVer="341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rFonts w:ascii="Times New Roman" w:hAnsi="Times New Roman" w:eastAsia="Times New Roman" w:cs="Times New Roman"/>
      <w:sz w:val="24"/>
    </w:rPr>
  </w:style>
  <w:style w:type="paragraph" w:styleId="para1">
    <w:name w:val="heading 1"/>
    <w:qFormat/>
    <w:basedOn w:val="para0"/>
    <w:pPr>
      <w:numPr>
        <w:ilvl w:val="0"/>
        <w:numId w:val="1"/>
      </w:numPr>
      <w:ind w:left="0" w:firstLine="0"/>
      <w:spacing w:before="240" w:after="60"/>
      <w:keepNext/>
      <w:outlineLvl w:val="0"/>
      <w:tabs>
        <w:tab w:val="left" w:pos="0" w:leader="none"/>
      </w:tabs>
    </w:pPr>
    <w:rPr>
      <w:rFonts w:ascii="Cambria" w:hAnsi="Cambria" w:cs="Cambria"/>
      <w:b/>
      <w:bCs/>
      <w:sz w:val="32"/>
      <w:szCs w:val="32"/>
    </w:rPr>
  </w:style>
  <w:style w:type="paragraph" w:styleId="para2">
    <w:name w:val="heading 3"/>
    <w:qFormat/>
    <w:basedOn w:val="para0"/>
    <w:pPr>
      <w:numPr>
        <w:ilvl w:val="2"/>
        <w:numId w:val="1"/>
      </w:numPr>
      <w:ind w:left="1572" w:hanging="720"/>
      <w:spacing/>
      <w:jc w:val="center"/>
      <w:keepNext/>
      <w:outlineLvl w:val="2"/>
      <w:tabs>
        <w:tab w:val="left" w:pos="0" w:leader="none"/>
      </w:tabs>
    </w:pPr>
    <w:rPr>
      <w:sz w:val="32"/>
    </w:rPr>
  </w:style>
  <w:style w:type="paragraph" w:styleId="para3">
    <w:name w:val="heading 4"/>
    <w:qFormat/>
    <w:basedOn w:val="para0"/>
    <w:pPr>
      <w:numPr>
        <w:ilvl w:val="3"/>
        <w:numId w:val="1"/>
      </w:numPr>
      <w:ind w:left="702" w:right="-18" w:firstLine="1"/>
      <w:keepNext/>
      <w:outlineLvl w:val="3"/>
      <w:tabs>
        <w:tab w:val="left" w:pos="0" w:leader="none"/>
      </w:tabs>
    </w:pPr>
    <w:rPr>
      <w:i/>
    </w:rPr>
  </w:style>
  <w:style w:type="paragraph" w:styleId="para4">
    <w:name w:val="heading 5"/>
    <w:qFormat/>
    <w:basedOn w:val="para0"/>
    <w:pPr>
      <w:numPr>
        <w:ilvl w:val="4"/>
        <w:numId w:val="1"/>
      </w:numPr>
      <w:ind w:left="0" w:firstLine="0"/>
      <w:spacing w:before="240" w:after="60"/>
      <w:outlineLvl w:val="4"/>
      <w:tabs>
        <w:tab w:val="left" w:pos="0" w:leader="none"/>
      </w:tabs>
    </w:pPr>
    <w:rPr>
      <w:b/>
      <w:bCs/>
      <w:i/>
      <w:iCs/>
      <w:sz w:val="26"/>
      <w:szCs w:val="26"/>
    </w:rPr>
  </w:style>
  <w:style w:type="paragraph" w:styleId="para5">
    <w:name w:val="heading 7"/>
    <w:qFormat/>
    <w:basedOn w:val="para0"/>
    <w:pPr>
      <w:numPr>
        <w:ilvl w:val="6"/>
        <w:numId w:val="1"/>
      </w:numPr>
      <w:ind w:left="0" w:firstLine="0"/>
      <w:spacing w:before="240" w:after="60"/>
      <w:outlineLvl w:val="6"/>
      <w:tabs>
        <w:tab w:val="left" w:pos="0" w:leader="none"/>
      </w:tabs>
    </w:pPr>
    <w:rPr>
      <w:szCs w:val="24"/>
    </w:rPr>
  </w:style>
  <w:style w:type="paragraph" w:styleId="para6">
    <w:name w:val="heading 8"/>
    <w:qFormat/>
    <w:basedOn w:val="para0"/>
    <w:pPr>
      <w:numPr>
        <w:ilvl w:val="7"/>
        <w:numId w:val="1"/>
      </w:numPr>
      <w:ind w:left="0" w:firstLine="0"/>
      <w:spacing/>
      <w:jc w:val="right"/>
      <w:keepNext/>
      <w:outlineLvl w:val="7"/>
      <w:tabs>
        <w:tab w:val="left" w:pos="0" w:leader="none"/>
      </w:tabs>
    </w:pPr>
    <w:rPr>
      <w:b/>
      <w:bCs/>
    </w:rPr>
  </w:style>
  <w:style w:type="paragraph" w:styleId="para7">
    <w:name w:val="heading 9"/>
    <w:qFormat/>
    <w:basedOn w:val="para0"/>
    <w:pPr>
      <w:numPr>
        <w:ilvl w:val="8"/>
        <w:numId w:val="1"/>
      </w:numPr>
      <w:ind w:left="0" w:firstLine="0"/>
      <w:spacing w:before="240" w:after="60"/>
      <w:outlineLvl w:val="8"/>
      <w:tabs>
        <w:tab w:val="left" w:pos="0" w:leader="none"/>
      </w:tabs>
    </w:pPr>
    <w:rPr>
      <w:rFonts w:ascii="Arial" w:hAnsi="Arial" w:cs="Arial"/>
      <w:sz w:val="22"/>
      <w:szCs w:val="22"/>
    </w:rPr>
  </w:style>
  <w:style w:type="paragraph" w:styleId="para8" w:customStyle="1">
    <w:name w:val="Nagłówek"/>
    <w:qFormat/>
    <w:basedOn w:val="para0"/>
    <w:next w:val="para9"/>
    <w:pPr>
      <w:spacing w:before="240" w:after="120"/>
      <w:keepNext/>
    </w:pPr>
    <w:rPr>
      <w:rFonts w:ascii="Liberation Sans" w:hAnsi="Liberation Sans" w:eastAsia="Droid Sans Fallback" w:cs="Lohit Devanagari"/>
      <w:sz w:val="28"/>
      <w:szCs w:val="28"/>
    </w:rPr>
  </w:style>
  <w:style w:type="paragraph" w:styleId="para9">
    <w:name w:val="Body Text"/>
    <w:qFormat/>
    <w:basedOn w:val="para0"/>
    <w:pPr>
      <w:widowControl w:val="0"/>
    </w:pPr>
    <w:rPr>
      <w:b/>
      <w:sz w:val="28"/>
    </w:rPr>
  </w:style>
  <w:style w:type="paragraph" w:styleId="para10">
    <w:name w:val="List"/>
    <w:qFormat/>
    <w:basedOn w:val="para0"/>
    <w:pPr>
      <w:ind w:left="283" w:hanging="283"/>
    </w:pPr>
  </w:style>
  <w:style w:type="paragraph" w:styleId="para11">
    <w:name w:val="caption"/>
    <w:qFormat/>
    <w:basedOn w:val="para0"/>
    <w:pPr>
      <w:spacing w:before="120" w:after="120"/>
      <w:suppressLineNumbers/>
    </w:pPr>
    <w:rPr>
      <w:rFonts w:cs="Lohit Devanagari"/>
      <w:i/>
      <w:iCs/>
      <w:szCs w:val="24"/>
    </w:rPr>
  </w:style>
  <w:style w:type="paragraph" w:styleId="para12" w:customStyle="1">
    <w:name w:val="Indeks"/>
    <w:qFormat/>
    <w:basedOn w:val="para0"/>
    <w:pPr>
      <w:suppressLineNumbers/>
    </w:pPr>
    <w:rPr>
      <w:rFonts w:cs="Lohit Devanagari"/>
    </w:rPr>
  </w:style>
  <w:style w:type="paragraph" w:styleId="para13" w:customStyle="1">
    <w:name w:val="Nagłówek1"/>
    <w:qFormat/>
    <w:basedOn w:val="para0"/>
    <w:pPr>
      <w:spacing w:before="240" w:after="120"/>
      <w:keepNext/>
    </w:pPr>
    <w:rPr>
      <w:rFonts w:ascii="Albany" w:hAnsi="Albany" w:eastAsia="HG Mincho Light J" w:cs="Arial"/>
      <w:sz w:val="28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Lohit Devanagari"/>
      <w:i/>
      <w:iCs/>
      <w:szCs w:val="24"/>
    </w:rPr>
  </w:style>
  <w:style w:type="paragraph" w:styleId="para15" w:customStyle="1">
    <w:name w:val="Tekst d?ugiego cytatu"/>
    <w:qFormat/>
    <w:basedOn w:val="para0"/>
    <w:pPr>
      <w:ind w:left="360" w:right="-18" w:firstLine="1"/>
      <w:spacing/>
      <w:jc w:val="both"/>
    </w:pPr>
    <w:rPr>
      <w:rFonts w:ascii="Arial" w:hAnsi="Arial" w:cs="Arial"/>
      <w:sz w:val="22"/>
    </w:rPr>
  </w:style>
  <w:style w:type="paragraph" w:styleId="para16" w:customStyle="1">
    <w:name w:val="Tekst podstawowy wci?ty 3"/>
    <w:qFormat/>
    <w:basedOn w:val="para0"/>
    <w:pPr>
      <w:ind w:left="720" w:firstLine="1"/>
      <w:spacing/>
      <w:jc w:val="both"/>
    </w:pPr>
  </w:style>
  <w:style w:type="paragraph" w:styleId="para17" w:customStyle="1">
    <w:name w:val="Tekst podstawowy wci?ty 2"/>
    <w:qFormat/>
    <w:basedOn w:val="para0"/>
    <w:pPr>
      <w:ind w:firstLine="426"/>
    </w:pPr>
  </w:style>
  <w:style w:type="paragraph" w:styleId="para18" w:customStyle="1">
    <w:name w:val="Nag?—wek 4"/>
    <w:qFormat/>
    <w:basedOn w:val="para0"/>
    <w:pPr>
      <w:spacing/>
      <w:jc w:val="center"/>
      <w:keepNext/>
    </w:pPr>
    <w:rPr>
      <w:b/>
      <w:sz w:val="28"/>
    </w:rPr>
  </w:style>
  <w:style w:type="paragraph" w:styleId="para19" w:customStyle="1">
    <w:name w:val="WW-Tekst podstawowy 3"/>
    <w:qFormat/>
    <w:basedOn w:val="para0"/>
    <w:pPr>
      <w:spacing/>
      <w:jc w:val="both"/>
    </w:pPr>
  </w:style>
  <w:style w:type="paragraph" w:styleId="para20" w:customStyle="1">
    <w:name w:val="Tekst podstawowy wci?ty"/>
    <w:qFormat/>
    <w:basedOn w:val="para0"/>
    <w:pPr>
      <w:ind w:firstLine="567"/>
    </w:pPr>
    <w:rPr>
      <w:b/>
    </w:rPr>
  </w:style>
  <w:style w:type="paragraph" w:styleId="para21" w:customStyle="1">
    <w:name w:val="WW-Tekst podstawowy wcięty 3"/>
    <w:qFormat/>
    <w:basedOn w:val="para0"/>
    <w:pPr>
      <w:ind w:left="851" w:hanging="709"/>
      <w:spacing/>
      <w:jc w:val="both"/>
    </w:pPr>
  </w:style>
  <w:style w:type="paragraph" w:styleId="para22" w:customStyle="1">
    <w:name w:val="Tekst blokowy1"/>
    <w:qFormat/>
    <w:basedOn w:val="para0"/>
    <w:pPr>
      <w:ind w:left="900" w:right="-18" w:hanging="540"/>
      <w:spacing/>
      <w:jc w:val="both"/>
    </w:pPr>
  </w:style>
  <w:style w:type="paragraph" w:styleId="para23" w:customStyle="1">
    <w:name w:val="pkt"/>
    <w:qFormat/>
    <w:basedOn w:val="para0"/>
    <w:pPr>
      <w:ind w:left="851" w:hanging="295"/>
      <w:spacing w:before="60" w:after="60"/>
      <w:jc w:val="both"/>
    </w:pPr>
  </w:style>
  <w:style w:type="paragraph" w:styleId="para24" w:customStyle="1">
    <w:name w:val="Tekst podstawowy 31"/>
    <w:qFormat/>
    <w:basedOn w:val="para0"/>
    <w:pPr>
      <w:spacing w:after="120" w:line="360" w:lineRule="auto"/>
      <w:jc w:val="both"/>
    </w:pPr>
    <w:rPr>
      <w:b/>
    </w:rPr>
  </w:style>
  <w:style w:type="paragraph" w:styleId="para25" w:customStyle="1">
    <w:name w:val="Tekst podstawowy 32"/>
    <w:qFormat/>
    <w:basedOn w:val="para0"/>
    <w:pPr>
      <w:spacing w:after="120" w:line="360" w:lineRule="auto"/>
      <w:jc w:val="both"/>
    </w:pPr>
    <w:rPr>
      <w:b/>
    </w:rPr>
  </w:style>
  <w:style w:type="paragraph" w:styleId="para26" w:customStyle="1">
    <w:name w:val="Tekst podstawowy 21"/>
    <w:qFormat/>
    <w:basedOn w:val="para0"/>
    <w:pPr>
      <w:widowControl w:val="0"/>
    </w:pPr>
    <w:rPr>
      <w:sz w:val="28"/>
    </w:rPr>
  </w:style>
  <w:style w:type="paragraph" w:styleId="para27" w:customStyle="1">
    <w:name w:val="Tekst podstawowy 22"/>
    <w:qFormat/>
    <w:basedOn w:val="para0"/>
    <w:pPr>
      <w:widowControl w:val="0"/>
    </w:pPr>
    <w:rPr>
      <w:sz w:val="28"/>
    </w:rPr>
  </w:style>
  <w:style w:type="paragraph" w:styleId="para28" w:customStyle="1">
    <w:name w:val="Normalny (Web)1"/>
    <w:qFormat/>
    <w:basedOn w:val="para0"/>
    <w:pPr>
      <w:spacing w:before="280" w:after="280"/>
      <w:jc w:val="both"/>
    </w:pPr>
    <w:rPr>
      <w:sz w:val="20"/>
    </w:rPr>
  </w:style>
  <w:style w:type="paragraph" w:styleId="para29">
    <w:name w:val="Header"/>
    <w:qFormat/>
    <w:basedOn w:val="para0"/>
  </w:style>
  <w:style w:type="paragraph" w:styleId="para30" w:customStyle="1">
    <w:name w:val="Standardowy.+"/>
    <w:qFormat/>
    <w:pPr>
      <w:suppressAutoHyphens/>
      <w:hyphenationLines w:val="0"/>
    </w:pPr>
    <w:rPr>
      <w:rFonts w:ascii="Times New Roman" w:hAnsi="Times New Roman" w:eastAsia="Times New Roman" w:cs="Times New Roman"/>
      <w:sz w:val="24"/>
    </w:rPr>
  </w:style>
  <w:style w:type="paragraph" w:styleId="para31" w:customStyle="1">
    <w:name w:val="Tekst podstawowy wcięty 21"/>
    <w:qFormat/>
    <w:basedOn w:val="para0"/>
    <w:pPr>
      <w:ind w:left="284" w:hanging="284"/>
      <w:spacing/>
      <w:jc w:val="both"/>
    </w:pPr>
  </w:style>
  <w:style w:type="paragraph" w:styleId="para32" w:customStyle="1">
    <w:name w:val="Lista numerowana1"/>
    <w:qFormat/>
    <w:basedOn w:val="para0"/>
  </w:style>
  <w:style w:type="paragraph" w:styleId="para33">
    <w:name w:val="List Bullet 3"/>
    <w:qFormat/>
    <w:basedOn w:val="para0"/>
    <w:pPr>
      <w:ind w:left="849" w:hanging="283"/>
    </w:pPr>
    <w:rPr>
      <w:szCs w:val="24"/>
      <w:lang w:val="en-us"/>
    </w:rPr>
  </w:style>
  <w:style w:type="paragraph" w:styleId="para34" w:customStyle="1">
    <w:name w:val="Standard"/>
    <w:qFormat/>
    <w:pPr>
      <w:suppressAutoHyphens/>
      <w:hyphenationLines w:val="0"/>
      <w:widowContro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para35" w:customStyle="1">
    <w:name w:val="ProPublico"/>
    <w:qFormat/>
    <w:pPr>
      <w:spacing w:line="360" w:lineRule="auto"/>
      <w:suppressAutoHyphens/>
      <w:hyphenationLines w:val="0"/>
    </w:pPr>
    <w:rPr>
      <w:rFonts w:ascii="Arial" w:hAnsi="Arial" w:eastAsia="Times New Roman" w:cs="Arial"/>
      <w:sz w:val="22"/>
    </w:rPr>
  </w:style>
  <w:style w:type="paragraph" w:styleId="para36" w:customStyle="1">
    <w:name w:val="WW-Tekst podstawowy 2"/>
    <w:qFormat/>
    <w:basedOn w:val="para34"/>
    <w:pPr>
      <w:spacing w:before="120"/>
      <w:jc w:val="both"/>
    </w:pPr>
  </w:style>
  <w:style w:type="paragraph" w:styleId="para37" w:customStyle="1">
    <w:name w:val="Obszar tekstu"/>
    <w:qFormat/>
    <w:basedOn w:val="para34"/>
    <w:rPr>
      <w:b/>
      <w:bCs/>
      <w:sz w:val="28"/>
      <w:szCs w:val="28"/>
    </w:rPr>
  </w:style>
  <w:style w:type="paragraph" w:styleId="para38" w:customStyle="1">
    <w:name w:val="Tytuł 4"/>
    <w:qFormat/>
    <w:basedOn w:val="para34"/>
    <w:next w:val="para34"/>
    <w:pPr>
      <w:ind w:left="2880" w:hanging="360"/>
      <w:spacing/>
      <w:jc w:val="right"/>
      <w:keepNext/>
    </w:pPr>
    <w:rPr>
      <w:b/>
      <w:bCs/>
      <w:sz w:val="28"/>
      <w:szCs w:val="28"/>
    </w:rPr>
  </w:style>
  <w:style w:type="paragraph" w:styleId="para39" w:customStyle="1">
    <w:name w:val="Nag?1"/>
    <w:qFormat/>
    <w:basedOn w:val="para34"/>
    <w:next w:val="para34"/>
    <w:pPr>
      <w:spacing/>
      <w:jc w:val="center"/>
      <w:keepNext/>
    </w:pPr>
    <w:rPr>
      <w:b/>
      <w:bCs/>
      <w:sz w:val="28"/>
      <w:szCs w:val="28"/>
    </w:rPr>
  </w:style>
  <w:style w:type="paragraph" w:styleId="para40" w:customStyle="1">
    <w:name w:val="Tekst podstawowy wcięty 31"/>
    <w:qFormat/>
    <w:basedOn w:val="para0"/>
    <w:pPr>
      <w:ind w:left="283"/>
      <w:spacing w:after="120"/>
    </w:pPr>
    <w:rPr>
      <w:sz w:val="16"/>
      <w:szCs w:val="16"/>
    </w:rPr>
  </w:style>
  <w:style w:type="paragraph" w:styleId="para41">
    <w:name w:val="Body Text Indent"/>
    <w:qFormat/>
    <w:basedOn w:val="para0"/>
    <w:pPr>
      <w:ind w:left="900" w:hanging="540"/>
      <w:spacing/>
      <w:jc w:val="both"/>
    </w:pPr>
    <w:rPr>
      <w:szCs w:val="24"/>
    </w:rPr>
  </w:style>
  <w:style w:type="paragraph" w:styleId="para42">
    <w:name w:val="Endnote Text"/>
    <w:qFormat/>
    <w:basedOn w:val="para0"/>
    <w:rPr>
      <w:sz w:val="20"/>
    </w:rPr>
  </w:style>
  <w:style w:type="paragraph" w:styleId="para43">
    <w:name w:val="Footer"/>
    <w:qFormat/>
    <w:basedOn w:val="para0"/>
  </w:style>
  <w:style w:type="paragraph" w:styleId="para44" w:customStyle="1">
    <w:name w:val="Tekst"/>
    <w:qFormat/>
    <w:basedOn w:val="para0"/>
    <w:rPr>
      <w:rFonts w:ascii="Arial" w:hAnsi="Arial" w:cs="Arial"/>
      <w:bCs/>
      <w:szCs w:val="24"/>
    </w:rPr>
  </w:style>
  <w:style w:type="paragraph" w:styleId="para45">
    <w:name w:val="Subtitle"/>
    <w:qFormat/>
    <w:basedOn w:val="para0"/>
    <w:pPr>
      <w:spacing/>
      <w:jc w:val="center"/>
    </w:pPr>
    <w:rPr>
      <w:b/>
      <w:color w:val="ff0000"/>
      <w:szCs w:val="24"/>
    </w:rPr>
  </w:style>
  <w:style w:type="paragraph" w:styleId="para46" w:customStyle="1">
    <w:name w:val="Tekst dymka1"/>
    <w:qFormat/>
    <w:basedOn w:val="para0"/>
    <w:rPr>
      <w:rFonts w:ascii="Tahoma" w:hAnsi="Tahoma" w:cs="Tahoma"/>
      <w:sz w:val="16"/>
      <w:szCs w:val="16"/>
    </w:rPr>
  </w:style>
  <w:style w:type="paragraph" w:styleId="para47" w:customStyle="1">
    <w:name w:val="Styl Futura Bk 10 pt Pogrubienie Podkreślenie Wyjustowany"/>
    <w:qFormat/>
    <w:basedOn w:val="para0"/>
    <w:pPr>
      <w:ind w:left="1389" w:hanging="284"/>
      <w:tabs>
        <w:tab w:val="left" w:pos="1389" w:leader="none"/>
      </w:tabs>
    </w:pPr>
    <w:rPr>
      <w:szCs w:val="24"/>
    </w:rPr>
  </w:style>
  <w:style w:type="paragraph" w:styleId="para48" w:customStyle="1">
    <w:name w:val="Tekst podstawowy 311"/>
    <w:qFormat/>
    <w:basedOn w:val="para0"/>
    <w:pPr>
      <w:spacing w:after="120"/>
    </w:pPr>
    <w:rPr>
      <w:sz w:val="16"/>
      <w:szCs w:val="16"/>
    </w:rPr>
  </w:style>
  <w:style w:type="paragraph" w:styleId="para49" w:customStyle="1">
    <w:name w:val="Tekst podstawowy 211"/>
    <w:qFormat/>
    <w:basedOn w:val="para0"/>
    <w:pPr>
      <w:spacing w:after="120" w:line="480" w:lineRule="auto"/>
    </w:pPr>
  </w:style>
  <w:style w:type="paragraph" w:styleId="para50" w:customStyle="1">
    <w:name w:val="Nag?—wek 1"/>
    <w:qFormat/>
    <w:basedOn w:val="para0"/>
    <w:pPr>
      <w:ind w:firstLine="426"/>
      <w:spacing w:line="360" w:lineRule="auto"/>
      <w:jc w:val="both"/>
      <w:keepNext/>
    </w:pPr>
  </w:style>
  <w:style w:type="paragraph" w:styleId="para51" w:customStyle="1">
    <w:name w:val="tekst"/>
    <w:qFormat/>
    <w:basedOn w:val="para0"/>
    <w:pPr>
      <w:spacing w:before="60" w:after="60"/>
      <w:jc w:val="both"/>
      <w:suppressLineNumbers/>
    </w:pPr>
  </w:style>
  <w:style w:type="paragraph" w:styleId="para52" w:customStyle="1">
    <w:name w:val="Tekst podstawowy wcięty1"/>
    <w:qFormat/>
    <w:basedOn w:val="para0"/>
    <w:pPr>
      <w:ind w:left="567" w:hanging="283"/>
      <w:spacing w:line="360" w:lineRule="atLeast"/>
      <w:jc w:val="both"/>
    </w:pPr>
    <w:rPr>
      <w:rFonts w:ascii="Arial" w:hAnsi="Arial" w:cs="Arial"/>
      <w:szCs w:val="24"/>
    </w:rPr>
  </w:style>
  <w:style w:type="paragraph" w:styleId="para53" w:customStyle="1">
    <w:name w:val="Kolorowe cieniowanie — akcent 31"/>
    <w:qFormat/>
    <w:basedOn w:val="para0"/>
    <w:pPr>
      <w:ind w:left="708"/>
    </w:pPr>
  </w:style>
  <w:style w:type="paragraph" w:styleId="para54" w:customStyle="1">
    <w:name w:val="Zawartość tabeli"/>
    <w:qFormat/>
    <w:basedOn w:val="para34"/>
    <w:pPr>
      <w:suppressLineNumbers/>
      <w:widowControl/>
    </w:pPr>
    <w:rPr>
      <w:sz w:val="20"/>
    </w:rPr>
  </w:style>
  <w:style w:type="paragraph" w:styleId="para55" w:customStyle="1">
    <w:name w:val="Nagłówek tabeli"/>
    <w:qFormat/>
    <w:basedOn w:val="para0"/>
    <w:pPr>
      <w:spacing/>
      <w:jc w:val="center"/>
      <w:suppressLineNumbers/>
    </w:pPr>
    <w:rPr>
      <w:b/>
      <w:bCs/>
    </w:rPr>
  </w:style>
  <w:style w:type="paragraph" w:styleId="para56" w:customStyle="1">
    <w:name w:val="Nag?—wek 3"/>
    <w:qFormat/>
    <w:basedOn w:val="para0"/>
    <w:pPr>
      <w:keepNext/>
    </w:pPr>
    <w:rPr>
      <w:b/>
      <w:i/>
    </w:rPr>
  </w:style>
  <w:style w:type="paragraph" w:styleId="para57" w:customStyle="1">
    <w:name w:val="Tekst podstawowy 33"/>
    <w:qFormat/>
    <w:basedOn w:val="para0"/>
    <w:pPr>
      <w:spacing w:after="120" w:line="360" w:lineRule="auto"/>
      <w:jc w:val="both"/>
    </w:pPr>
    <w:rPr>
      <w:b/>
    </w:rPr>
  </w:style>
  <w:style w:type="paragraph" w:styleId="para58" w:customStyle="1">
    <w:name w:val="Tekst podstawowy 23"/>
    <w:qFormat/>
    <w:basedOn w:val="para0"/>
    <w:pPr>
      <w:widowControl w:val="0"/>
    </w:pPr>
    <w:rPr>
      <w:sz w:val="28"/>
    </w:rPr>
  </w:style>
  <w:style w:type="paragraph" w:styleId="para59" w:customStyle="1">
    <w:name w:val="Style6"/>
    <w:qFormat/>
    <w:basedOn w:val="para0"/>
    <w:pPr>
      <w:spacing/>
      <w:jc w:val="both"/>
      <w:widowControl w:val="0"/>
    </w:pPr>
    <w:rPr>
      <w:szCs w:val="24"/>
    </w:rPr>
  </w:style>
  <w:style w:type="paragraph" w:styleId="para60" w:customStyle="1">
    <w:name w:val="Style10"/>
    <w:qFormat/>
    <w:basedOn w:val="para0"/>
    <w:pPr>
      <w:spacing/>
      <w:jc w:val="both"/>
      <w:widowControl w:val="0"/>
    </w:pPr>
    <w:rPr>
      <w:szCs w:val="24"/>
    </w:rPr>
  </w:style>
  <w:style w:type="paragraph" w:styleId="para61" w:customStyle="1">
    <w:name w:val="Tekst podstawowy wcięty2"/>
    <w:qFormat/>
    <w:basedOn w:val="para0"/>
    <w:pPr>
      <w:ind w:left="567" w:hanging="283"/>
      <w:spacing w:line="360" w:lineRule="atLeast"/>
      <w:jc w:val="both"/>
    </w:pPr>
    <w:rPr>
      <w:rFonts w:ascii="Arial" w:hAnsi="Arial" w:cs="Arial"/>
      <w:szCs w:val="24"/>
    </w:rPr>
  </w:style>
  <w:style w:type="paragraph" w:styleId="para62" w:customStyle="1">
    <w:name w:val="Tekst komentarza1"/>
    <w:qFormat/>
    <w:basedOn w:val="para0"/>
    <w:rPr>
      <w:sz w:val="20"/>
    </w:rPr>
  </w:style>
  <w:style w:type="paragraph" w:styleId="para63" w:customStyle="1">
    <w:name w:val="Temat komentarza1"/>
    <w:qFormat/>
    <w:basedOn w:val="para62"/>
    <w:rPr>
      <w:b/>
      <w:bCs/>
    </w:rPr>
  </w:style>
  <w:style w:type="paragraph" w:styleId="para64" w:customStyle="1">
    <w:name w:val="Zwykły tekst1"/>
    <w:qFormat/>
    <w:basedOn w:val="para0"/>
    <w:pPr>
      <w:widowControl w:val="0"/>
    </w:pPr>
    <w:rPr>
      <w:rFonts w:ascii="Courier New" w:hAnsi="Courier New" w:cs="Courier New"/>
      <w:sz w:val="20"/>
    </w:rPr>
  </w:style>
  <w:style w:type="paragraph" w:styleId="para65" w:customStyle="1">
    <w:name w:val="Znak Znak1 Znak"/>
    <w:qFormat/>
    <w:basedOn w:val="para0"/>
    <w:rPr>
      <w:rFonts w:ascii="Arial" w:hAnsi="Arial" w:cs="Arial"/>
      <w:szCs w:val="24"/>
    </w:rPr>
  </w:style>
  <w:style w:type="paragraph" w:styleId="para66" w:customStyle="1">
    <w:name w:val="NormalBold"/>
    <w:qFormat/>
    <w:basedOn w:val="para0"/>
    <w:pPr>
      <w:widowControl w:val="0"/>
    </w:pPr>
    <w:rPr>
      <w:b/>
      <w:szCs w:val="22"/>
    </w:rPr>
  </w:style>
  <w:style w:type="paragraph" w:styleId="para67">
    <w:name w:val="Footnote Text"/>
    <w:qFormat/>
    <w:basedOn w:val="para0"/>
    <w:pPr>
      <w:ind w:left="720" w:hanging="720"/>
      <w:spacing/>
      <w:jc w:val="both"/>
    </w:pPr>
    <w:rPr>
      <w:rFonts w:eastAsia="Calibri"/>
      <w:sz w:val="20"/>
    </w:rPr>
  </w:style>
  <w:style w:type="paragraph" w:styleId="para68" w:customStyle="1">
    <w:name w:val="Text 1"/>
    <w:qFormat/>
    <w:basedOn w:val="para0"/>
    <w:pPr>
      <w:ind w:left="850"/>
      <w:spacing w:before="120" w:after="120"/>
      <w:jc w:val="both"/>
    </w:pPr>
    <w:rPr>
      <w:rFonts w:eastAsia="Calibri"/>
      <w:szCs w:val="22"/>
    </w:rPr>
  </w:style>
  <w:style w:type="paragraph" w:styleId="para69" w:customStyle="1">
    <w:name w:val="Normal Left"/>
    <w:qFormat/>
    <w:basedOn w:val="para0"/>
    <w:pPr>
      <w:spacing w:before="120" w:after="120"/>
    </w:pPr>
    <w:rPr>
      <w:rFonts w:eastAsia="Calibri"/>
      <w:szCs w:val="22"/>
    </w:rPr>
  </w:style>
  <w:style w:type="paragraph" w:styleId="para70" w:customStyle="1">
    <w:name w:val="Tiret 0"/>
    <w:qFormat/>
    <w:basedOn w:val="para0"/>
    <w:p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1" w:customStyle="1">
    <w:name w:val="Tiret 1"/>
    <w:qFormat/>
    <w:basedOn w:val="para0"/>
    <w:pPr>
      <w:ind w:left="1417" w:hanging="567"/>
      <w:spacing w:before="120" w:after="120"/>
      <w:jc w:val="both"/>
      <w:tabs>
        <w:tab w:val="left" w:pos="1417" w:leader="none"/>
      </w:tabs>
    </w:pPr>
    <w:rPr>
      <w:rFonts w:eastAsia="Calibri"/>
      <w:szCs w:val="22"/>
    </w:rPr>
  </w:style>
  <w:style w:type="paragraph" w:styleId="para72" w:customStyle="1">
    <w:name w:val="NumPar 1"/>
    <w:qFormat/>
    <w:basedOn w:val="para0"/>
    <w:p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3" w:customStyle="1">
    <w:name w:val="NumPar 2"/>
    <w:qFormat/>
    <w:basedOn w:val="para0"/>
    <w:p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4" w:customStyle="1">
    <w:name w:val="NumPar 3"/>
    <w:qFormat/>
    <w:basedOn w:val="para0"/>
    <w:p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5" w:customStyle="1">
    <w:name w:val="NumPar 4"/>
    <w:qFormat/>
    <w:basedOn w:val="para0"/>
    <w:p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6" w:customStyle="1">
    <w:name w:val="ChapterTitle"/>
    <w:qFormat/>
    <w:basedOn w:val="para0"/>
    <w:pPr>
      <w:spacing w:before="120" w:after="360"/>
      <w:jc w:val="center"/>
      <w:keepNext/>
    </w:pPr>
    <w:rPr>
      <w:rFonts w:eastAsia="Calibri"/>
      <w:b/>
      <w:sz w:val="32"/>
      <w:szCs w:val="22"/>
    </w:rPr>
  </w:style>
  <w:style w:type="paragraph" w:styleId="para77" w:customStyle="1">
    <w:name w:val="SectionTitle"/>
    <w:qFormat/>
    <w:basedOn w:val="para0"/>
    <w:pPr>
      <w:spacing w:before="120" w:after="360"/>
      <w:jc w:val="center"/>
      <w:keepNext/>
    </w:pPr>
    <w:rPr>
      <w:rFonts w:eastAsia="Calibri"/>
      <w:b/>
      <w:smallCaps/>
      <w:sz w:val="28"/>
      <w:szCs w:val="22"/>
    </w:rPr>
  </w:style>
  <w:style w:type="paragraph" w:styleId="para78" w:customStyle="1">
    <w:name w:val="Annexe titre"/>
    <w:qFormat/>
    <w:basedOn w:val="para0"/>
    <w:pPr>
      <w:spacing w:before="120" w:after="120"/>
      <w:jc w:val="center"/>
    </w:pPr>
    <w:rPr>
      <w:rFonts w:eastAsia="Calibri"/>
      <w:b/>
      <w:szCs w:val="22"/>
      <w:u w:color="auto" w:val="single"/>
    </w:rPr>
  </w:style>
  <w:style w:type="paragraph" w:styleId="para79" w:customStyle="1">
    <w:name w:val="Jasna siatka — akcent 31"/>
    <w:qFormat/>
    <w:basedOn w:val="para0"/>
    <w:pPr>
      <w:ind w:left="708"/>
    </w:pPr>
  </w:style>
  <w:style w:type="paragraph" w:styleId="para80" w:customStyle="1">
    <w:name w:val="Średnia siatka 1 — akcent 21"/>
    <w:qFormat/>
    <w:basedOn w:val="para0"/>
    <w:pPr>
      <w:ind w:left="708"/>
    </w:pPr>
  </w:style>
  <w:style w:type="paragraph" w:styleId="para81" w:customStyle="1">
    <w:name w:val="Body Text Indent 2*"/>
    <w:qFormat/>
    <w:basedOn w:val="para0"/>
    <w:pPr>
      <w:ind w:left="284" w:hanging="284"/>
      <w:spacing/>
      <w:jc w:val="both"/>
    </w:pPr>
  </w:style>
  <w:style w:type="paragraph" w:styleId="para82" w:customStyle="1">
    <w:name w:val="Style4"/>
    <w:qFormat/>
    <w:basedOn w:val="para0"/>
    <w:pPr>
      <w:widowControl w:val="0"/>
    </w:pPr>
    <w:rPr>
      <w:szCs w:val="24"/>
    </w:rPr>
  </w:style>
  <w:style w:type="paragraph" w:styleId="para83" w:customStyle="1">
    <w:name w:val="Style11"/>
    <w:qFormat/>
    <w:basedOn w:val="para0"/>
    <w:pPr>
      <w:ind w:hanging="130"/>
      <w:spacing w:line="275" w:lineRule="exact"/>
      <w:jc w:val="both"/>
      <w:widowControl w:val="0"/>
    </w:pPr>
    <w:rPr>
      <w:szCs w:val="24"/>
    </w:rPr>
  </w:style>
  <w:style w:type="paragraph" w:styleId="para84" w:customStyle="1">
    <w:name w:val="Style14"/>
    <w:qFormat/>
    <w:basedOn w:val="para0"/>
    <w:pPr>
      <w:ind w:hanging="274"/>
      <w:spacing w:line="274" w:lineRule="exact"/>
      <w:widowControl w:val="0"/>
    </w:pPr>
    <w:rPr>
      <w:szCs w:val="24"/>
    </w:rPr>
  </w:style>
  <w:style w:type="paragraph" w:styleId="para85" w:customStyle="1">
    <w:name w:val="Style19"/>
    <w:qFormat/>
    <w:basedOn w:val="para0"/>
    <w:pPr>
      <w:ind w:hanging="278"/>
      <w:spacing w:line="275" w:lineRule="exact"/>
      <w:jc w:val="both"/>
      <w:widowControl w:val="0"/>
    </w:pPr>
    <w:rPr>
      <w:szCs w:val="24"/>
    </w:rPr>
  </w:style>
  <w:style w:type="paragraph" w:styleId="para86" w:customStyle="1">
    <w:name w:val="Style5"/>
    <w:qFormat/>
    <w:basedOn w:val="para0"/>
    <w:pPr>
      <w:spacing w:line="413" w:lineRule="exact"/>
      <w:jc w:val="both"/>
      <w:widowControl w:val="0"/>
    </w:pPr>
    <w:rPr>
      <w:szCs w:val="24"/>
    </w:rPr>
  </w:style>
  <w:style w:type="paragraph" w:styleId="para87" w:customStyle="1">
    <w:name w:val="Body Text Indent*"/>
    <w:qFormat/>
    <w:basedOn w:val="para0"/>
    <w:pPr>
      <w:ind w:left="567" w:hanging="283"/>
      <w:spacing w:line="360" w:lineRule="atLeast"/>
      <w:jc w:val="both"/>
    </w:pPr>
    <w:rPr>
      <w:rFonts w:ascii="Arial" w:hAnsi="Arial" w:cs="Arial"/>
      <w:szCs w:val="24"/>
    </w:rPr>
  </w:style>
  <w:style w:type="paragraph" w:styleId="para88">
    <w:name w:val="List Paragraph"/>
    <w:qFormat/>
    <w:basedOn w:val="para0"/>
    <w:pPr>
      <w:ind w:left="720"/>
      <w:contextualSpacing/>
    </w:pPr>
  </w:style>
  <w:style w:type="paragraph" w:styleId="para89" w:customStyle="1">
    <w:name w:val="Bez odstępów1"/>
    <w:qFormat/>
    <w:pPr>
      <w:suppressAutoHyphens/>
      <w:hyphenationLines w:val="0"/>
    </w:pPr>
    <w:rPr>
      <w:rFonts w:ascii="Times New Roman" w:hAnsi="Times New Roman" w:eastAsia="Times New Roman" w:cs="Times New Roman"/>
      <w:sz w:val="24"/>
    </w:rPr>
  </w:style>
  <w:style w:type="paragraph" w:styleId="para90" w:customStyle="1">
    <w:name w:val="Kolorowa lista — akcent 11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</w:rPr>
  </w:style>
  <w:style w:type="paragraph" w:styleId="para91" w:customStyle="1">
    <w:name w:val="Akapit z listą1"/>
    <w:qFormat/>
    <w:basedOn w:val="para0"/>
    <w:pPr>
      <w:ind w:left="708"/>
    </w:pPr>
  </w:style>
  <w:style w:type="paragraph" w:styleId="para92" w:customStyle="1">
    <w:name w:val="Default"/>
    <w:qFormat/>
    <w:pPr>
      <w:suppressAutoHyphens/>
      <w:hyphenationLines w:val="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para93" w:customStyle="1">
    <w:name w:val="Text body"/>
    <w:qFormat/>
    <w:basedOn w:val="para34"/>
    <w:pPr>
      <w:spacing w:after="120"/>
      <w:widowControl/>
    </w:pPr>
    <w:rPr>
      <w:sz w:val="20"/>
    </w:rPr>
  </w:style>
  <w:style w:type="paragraph" w:styleId="para94" w:customStyle="1">
    <w:name w:val="Tabela - Lista"/>
    <w:qFormat/>
    <w:basedOn w:val="para0"/>
    <w:pPr>
      <w:ind w:left="397" w:hanging="170"/>
      <w:contextualSpacing/>
      <w:tabs>
        <w:tab w:val="left" w:pos="0" w:leader="none"/>
        <w:tab w:val="left" w:pos="1417" w:leader="none"/>
      </w:tabs>
    </w:pPr>
    <w:rPr>
      <w:rFonts w:ascii="Calibri" w:hAnsi="Calibri" w:cs="Calibri"/>
      <w:sz w:val="20"/>
    </w:rPr>
  </w:style>
  <w:style w:type="paragraph" w:styleId="para95" w:customStyle="1">
    <w:name w:val="H-TextFormat"/>
    <w:qFormat/>
    <w:pPr>
      <w:suppressAutoHyphens/>
      <w:hyphenationLines w:val="0"/>
      <w:widowControl w:val="0"/>
    </w:pPr>
    <w:rPr>
      <w:rFonts w:ascii="Arial" w:hAnsi="Arial" w:eastAsia="Times New Roman" w:cs="Arial"/>
      <w:color w:val="000000"/>
      <w:sz w:val="22"/>
      <w:szCs w:val="22"/>
      <w:lang w:val="en-us"/>
    </w:rPr>
  </w:style>
  <w:style w:type="paragraph" w:styleId="para96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3z0"/>
    <w:rPr>
      <w:rFonts w:ascii="Symbol" w:hAnsi="Symbol" w:cs="Symbol"/>
      <w:szCs w:val="24"/>
    </w:rPr>
  </w:style>
  <w:style w:type="character" w:styleId="char12" w:customStyle="1">
    <w:name w:val="WW8Num4z0"/>
  </w:style>
  <w:style w:type="character" w:styleId="char13" w:customStyle="1">
    <w:name w:val="WW8Num4z1"/>
    <w:rPr>
      <w:rFonts w:ascii="Times New Roman" w:hAnsi="Times New Roman" w:cs="Times New Roman"/>
      <w:i w:val="0"/>
      <w:sz w:val="24"/>
      <w:szCs w:val="24"/>
    </w:rPr>
  </w:style>
  <w:style w:type="character" w:styleId="char14" w:customStyle="1">
    <w:name w:val="WW8Num5z0"/>
    <w:rPr>
      <w:b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styleId="char15" w:customStyle="1">
    <w:name w:val="WW8Num6z0"/>
    <w:rPr>
      <w:rFonts w:ascii="Times New Roman" w:hAnsi="Times New Roman" w:cs="Times New Roman"/>
    </w:rPr>
  </w:style>
  <w:style w:type="character" w:styleId="char16" w:customStyle="1">
    <w:name w:val="WW8Num7z0"/>
    <w:rPr>
      <w:rFonts w:ascii="Liberation Serif" w:hAnsi="Liberation Serif" w:cs="Liberation Serif"/>
    </w:rPr>
  </w:style>
  <w:style w:type="character" w:styleId="char17" w:customStyle="1">
    <w:name w:val="WW8Num8z0"/>
  </w:style>
  <w:style w:type="character" w:styleId="char18" w:customStyle="1">
    <w:name w:val="WW8Num9z0"/>
    <w:rPr>
      <w:rFonts w:ascii="Symbol" w:hAnsi="Symbol" w:cs="Symbol"/>
    </w:rPr>
  </w:style>
  <w:style w:type="character" w:styleId="char19" w:customStyle="1">
    <w:name w:val="WW8Num10z0"/>
    <w:rPr>
      <w:rFonts w:ascii="Symbol" w:hAnsi="Symbol" w:cs="Symbol"/>
      <w:color w:val="000000"/>
      <w:spacing w:val="0"/>
      <w:sz w:val="24"/>
      <w:szCs w:val="24"/>
    </w:rPr>
  </w:style>
  <w:style w:type="character" w:styleId="char20" w:customStyle="1">
    <w:name w:val="WW8Num11z0"/>
    <w:rPr>
      <w:rFonts w:ascii="Liberation Serif" w:hAnsi="Liberation Serif" w:cs="Liberation Serif"/>
    </w:rPr>
  </w:style>
  <w:style w:type="character" w:styleId="char21" w:customStyle="1">
    <w:name w:val="WW8Num12z0"/>
    <w:rPr>
      <w:rFonts w:ascii="Symbol" w:hAnsi="Symbol" w:cs="Symbol"/>
    </w:rPr>
  </w:style>
  <w:style w:type="character" w:styleId="char22" w:customStyle="1">
    <w:name w:val="WW8Num13z0"/>
    <w:rPr>
      <w:rFonts w:cs="Times New Roman"/>
    </w:rPr>
  </w:style>
  <w:style w:type="character" w:styleId="char23" w:customStyle="1">
    <w:name w:val="WW8Num14z0"/>
  </w:style>
  <w:style w:type="character" w:styleId="char24" w:customStyle="1">
    <w:name w:val="WW8Num14z1"/>
  </w:style>
  <w:style w:type="character" w:styleId="char25" w:customStyle="1">
    <w:name w:val="WW8Num14z2"/>
  </w:style>
  <w:style w:type="character" w:styleId="char26" w:customStyle="1">
    <w:name w:val="WW8Num14z3"/>
  </w:style>
  <w:style w:type="character" w:styleId="char27" w:customStyle="1">
    <w:name w:val="WW8Num14z4"/>
  </w:style>
  <w:style w:type="character" w:styleId="char28" w:customStyle="1">
    <w:name w:val="WW8Num14z5"/>
  </w:style>
  <w:style w:type="character" w:styleId="char29" w:customStyle="1">
    <w:name w:val="WW8Num14z6"/>
  </w:style>
  <w:style w:type="character" w:styleId="char30" w:customStyle="1">
    <w:name w:val="WW8Num14z7"/>
  </w:style>
  <w:style w:type="character" w:styleId="char31" w:customStyle="1">
    <w:name w:val="WW8Num14z8"/>
  </w:style>
  <w:style w:type="character" w:styleId="char32" w:customStyle="1">
    <w:name w:val="WW8Num15z0"/>
    <w:rPr>
      <w:rFonts w:ascii="Symbol" w:hAnsi="Symbol" w:cs="OpenSymbol"/>
      <w:szCs w:val="24"/>
    </w:rPr>
  </w:style>
  <w:style w:type="character" w:styleId="char33" w:customStyle="1">
    <w:name w:val="WW8Num15z1"/>
    <w:rPr>
      <w:rFonts w:ascii="OpenSymbol" w:hAnsi="OpenSymbol" w:cs="OpenSymbol"/>
    </w:rPr>
  </w:style>
  <w:style w:type="character" w:styleId="char34" w:customStyle="1">
    <w:name w:val="WW8Num2z1"/>
    <w:rPr>
      <w:rFonts w:ascii="Times New Roman" w:hAnsi="Times New Roman" w:eastAsia="Calibri" w:cs="Times New Roman"/>
    </w:rPr>
  </w:style>
  <w:style w:type="character" w:styleId="char35" w:customStyle="1">
    <w:name w:val="WW8Num2z2"/>
    <w:rPr>
      <w:rFonts w:ascii="Symbol" w:hAnsi="Symbol" w:cs="OpenSymbol"/>
    </w:rPr>
  </w:style>
  <w:style w:type="character" w:styleId="char36" w:customStyle="1">
    <w:name w:val="WW8Num3z1"/>
  </w:style>
  <w:style w:type="character" w:styleId="char37" w:customStyle="1">
    <w:name w:val="WW8Num3z2"/>
  </w:style>
  <w:style w:type="character" w:styleId="char38" w:customStyle="1">
    <w:name w:val="WW8Num3z3"/>
  </w:style>
  <w:style w:type="character" w:styleId="char39" w:customStyle="1">
    <w:name w:val="WW8Num3z4"/>
  </w:style>
  <w:style w:type="character" w:styleId="char40" w:customStyle="1">
    <w:name w:val="WW8Num3z5"/>
  </w:style>
  <w:style w:type="character" w:styleId="char41" w:customStyle="1">
    <w:name w:val="WW8Num3z6"/>
  </w:style>
  <w:style w:type="character" w:styleId="char42" w:customStyle="1">
    <w:name w:val="WW8Num3z7"/>
  </w:style>
  <w:style w:type="character" w:styleId="char43" w:customStyle="1">
    <w:name w:val="WW8Num3z8"/>
  </w:style>
  <w:style w:type="character" w:styleId="char44" w:customStyle="1">
    <w:name w:val="WW8Num4z2"/>
  </w:style>
  <w:style w:type="character" w:styleId="char45" w:customStyle="1">
    <w:name w:val="WW8Num4z3"/>
  </w:style>
  <w:style w:type="character" w:styleId="char46" w:customStyle="1">
    <w:name w:val="WW8Num4z4"/>
  </w:style>
  <w:style w:type="character" w:styleId="char47" w:customStyle="1">
    <w:name w:val="WW8Num4z5"/>
  </w:style>
  <w:style w:type="character" w:styleId="char48" w:customStyle="1">
    <w:name w:val="WW8Num4z6"/>
  </w:style>
  <w:style w:type="character" w:styleId="char49" w:customStyle="1">
    <w:name w:val="WW8Num4z7"/>
  </w:style>
  <w:style w:type="character" w:styleId="char50" w:customStyle="1">
    <w:name w:val="WW8Num4z8"/>
  </w:style>
  <w:style w:type="character" w:styleId="char51" w:customStyle="1">
    <w:name w:val="WW8Num5z1"/>
  </w:style>
  <w:style w:type="character" w:styleId="char52" w:customStyle="1">
    <w:name w:val="WW8Num5z2"/>
    <w:rPr>
      <w:rFonts w:ascii="Times New Roman" w:hAnsi="Times New Roman" w:eastAsia="Times New Roman" w:cs="Times New Roman"/>
      <w:b w:val="0"/>
    </w:rPr>
  </w:style>
  <w:style w:type="character" w:styleId="char53" w:customStyle="1">
    <w:name w:val="WW8Num5z3"/>
  </w:style>
  <w:style w:type="character" w:styleId="char54" w:customStyle="1">
    <w:name w:val="WW8Num5z4"/>
  </w:style>
  <w:style w:type="character" w:styleId="char55" w:customStyle="1">
    <w:name w:val="WW8Num5z5"/>
  </w:style>
  <w:style w:type="character" w:styleId="char56" w:customStyle="1">
    <w:name w:val="WW8Num5z6"/>
  </w:style>
  <w:style w:type="character" w:styleId="char57" w:customStyle="1">
    <w:name w:val="WW8Num5z7"/>
  </w:style>
  <w:style w:type="character" w:styleId="char58" w:customStyle="1">
    <w:name w:val="WW8Num5z8"/>
  </w:style>
  <w:style w:type="character" w:styleId="char59" w:customStyle="1">
    <w:name w:val="WW8Num6z1"/>
  </w:style>
  <w:style w:type="character" w:styleId="char60" w:customStyle="1">
    <w:name w:val="WW8Num6z2"/>
  </w:style>
  <w:style w:type="character" w:styleId="char61" w:customStyle="1">
    <w:name w:val="WW8Num6z3"/>
  </w:style>
  <w:style w:type="character" w:styleId="char62" w:customStyle="1">
    <w:name w:val="WW8Num6z4"/>
  </w:style>
  <w:style w:type="character" w:styleId="char63" w:customStyle="1">
    <w:name w:val="WW8Num6z5"/>
  </w:style>
  <w:style w:type="character" w:styleId="char64" w:customStyle="1">
    <w:name w:val="WW8Num6z6"/>
  </w:style>
  <w:style w:type="character" w:styleId="char65" w:customStyle="1">
    <w:name w:val="WW8Num6z7"/>
  </w:style>
  <w:style w:type="character" w:styleId="char66" w:customStyle="1">
    <w:name w:val="WW8Num6z8"/>
  </w:style>
  <w:style w:type="character" w:styleId="char67" w:customStyle="1">
    <w:name w:val="WW8Num10z1"/>
  </w:style>
  <w:style w:type="character" w:styleId="char68" w:customStyle="1">
    <w:name w:val="WW8Num10z2"/>
  </w:style>
  <w:style w:type="character" w:styleId="char69" w:customStyle="1">
    <w:name w:val="WW8Num10z3"/>
  </w:style>
  <w:style w:type="character" w:styleId="char70" w:customStyle="1">
    <w:name w:val="WW8Num10z4"/>
  </w:style>
  <w:style w:type="character" w:styleId="char71" w:customStyle="1">
    <w:name w:val="WW8Num10z5"/>
  </w:style>
  <w:style w:type="character" w:styleId="char72" w:customStyle="1">
    <w:name w:val="WW8Num10z6"/>
  </w:style>
  <w:style w:type="character" w:styleId="char73" w:customStyle="1">
    <w:name w:val="WW8Num10z7"/>
  </w:style>
  <w:style w:type="character" w:styleId="char74" w:customStyle="1">
    <w:name w:val="WW8Num10z8"/>
  </w:style>
  <w:style w:type="character" w:styleId="char75" w:customStyle="1">
    <w:name w:val="WW8Num16z0"/>
  </w:style>
  <w:style w:type="character" w:styleId="char76" w:customStyle="1">
    <w:name w:val="WW8Num16z1"/>
    <w:rPr>
      <w:b w:val="0"/>
    </w:rPr>
  </w:style>
  <w:style w:type="character" w:styleId="char77" w:customStyle="1">
    <w:name w:val="WW8Num17z0"/>
  </w:style>
  <w:style w:type="character" w:styleId="char78" w:customStyle="1">
    <w:name w:val="WW8Num17z1"/>
  </w:style>
  <w:style w:type="character" w:styleId="char79" w:customStyle="1">
    <w:name w:val="WW8Num17z2"/>
  </w:style>
  <w:style w:type="character" w:styleId="char80" w:customStyle="1">
    <w:name w:val="WW8Num17z3"/>
  </w:style>
  <w:style w:type="character" w:styleId="char81" w:customStyle="1">
    <w:name w:val="WW8Num17z4"/>
  </w:style>
  <w:style w:type="character" w:styleId="char82" w:customStyle="1">
    <w:name w:val="WW8Num17z5"/>
  </w:style>
  <w:style w:type="character" w:styleId="char83" w:customStyle="1">
    <w:name w:val="WW8Num17z6"/>
  </w:style>
  <w:style w:type="character" w:styleId="char84" w:customStyle="1">
    <w:name w:val="WW8Num17z7"/>
  </w:style>
  <w:style w:type="character" w:styleId="char85" w:customStyle="1">
    <w:name w:val="WW8Num17z8"/>
  </w:style>
  <w:style w:type="character" w:styleId="char86" w:customStyle="1">
    <w:name w:val="WW8Num18z0"/>
    <w:rPr>
      <w:rFonts w:ascii="Symbol" w:hAnsi="Symbol" w:cs="Symbol"/>
    </w:rPr>
  </w:style>
  <w:style w:type="character" w:styleId="char87" w:customStyle="1">
    <w:name w:val="WW8Num18z1"/>
    <w:rPr>
      <w:rFonts w:ascii="Courier New" w:hAnsi="Courier New" w:cs="Courier New"/>
    </w:rPr>
  </w:style>
  <w:style w:type="character" w:styleId="char88" w:customStyle="1">
    <w:name w:val="WW8Num18z2"/>
    <w:rPr>
      <w:rFonts w:ascii="Wingdings" w:hAnsi="Wingdings" w:cs="Wingdings"/>
    </w:rPr>
  </w:style>
  <w:style w:type="character" w:styleId="char89" w:customStyle="1">
    <w:name w:val="WW8Num19z0"/>
  </w:style>
  <w:style w:type="character" w:styleId="char90" w:customStyle="1">
    <w:name w:val="WW8Num19z2"/>
  </w:style>
  <w:style w:type="character" w:styleId="char91" w:customStyle="1">
    <w:name w:val="WW8Num19z3"/>
  </w:style>
  <w:style w:type="character" w:styleId="char92" w:customStyle="1">
    <w:name w:val="WW8Num19z4"/>
  </w:style>
  <w:style w:type="character" w:styleId="char93" w:customStyle="1">
    <w:name w:val="WW8Num19z5"/>
  </w:style>
  <w:style w:type="character" w:styleId="char94" w:customStyle="1">
    <w:name w:val="WW8Num19z6"/>
  </w:style>
  <w:style w:type="character" w:styleId="char95" w:customStyle="1">
    <w:name w:val="WW8Num19z7"/>
  </w:style>
  <w:style w:type="character" w:styleId="char96" w:customStyle="1">
    <w:name w:val="WW8Num19z8"/>
  </w:style>
  <w:style w:type="character" w:styleId="char97" w:customStyle="1">
    <w:name w:val="WW8Num20z0"/>
    <w:rPr>
      <w:b w:val="0"/>
    </w:rPr>
  </w:style>
  <w:style w:type="character" w:styleId="char98" w:customStyle="1">
    <w:name w:val="WW8Num20z1"/>
  </w:style>
  <w:style w:type="character" w:styleId="char99" w:customStyle="1">
    <w:name w:val="WW8Num20z2"/>
    <w:rPr>
      <w:rFonts w:ascii="Times New Roman" w:hAnsi="Times New Roman" w:eastAsia="Times New Roman" w:cs="Times New Roman"/>
      <w:b w:val="0"/>
    </w:rPr>
  </w:style>
  <w:style w:type="character" w:styleId="char100" w:customStyle="1">
    <w:name w:val="WW8Num21z0"/>
  </w:style>
  <w:style w:type="character" w:styleId="char101" w:customStyle="1">
    <w:name w:val="WW8Num21z1"/>
  </w:style>
  <w:style w:type="character" w:styleId="char102" w:customStyle="1">
    <w:name w:val="WW8Num21z2"/>
  </w:style>
  <w:style w:type="character" w:styleId="char103" w:customStyle="1">
    <w:name w:val="WW8Num21z3"/>
  </w:style>
  <w:style w:type="character" w:styleId="char104" w:customStyle="1">
    <w:name w:val="WW8Num21z4"/>
  </w:style>
  <w:style w:type="character" w:styleId="char105" w:customStyle="1">
    <w:name w:val="WW8Num21z5"/>
  </w:style>
  <w:style w:type="character" w:styleId="char106" w:customStyle="1">
    <w:name w:val="WW8Num21z6"/>
  </w:style>
  <w:style w:type="character" w:styleId="char107" w:customStyle="1">
    <w:name w:val="WW8Num21z7"/>
  </w:style>
  <w:style w:type="character" w:styleId="char108" w:customStyle="1">
    <w:name w:val="WW8Num21z8"/>
  </w:style>
  <w:style w:type="character" w:styleId="char109" w:customStyle="1">
    <w:name w:val="WW8Num22z0"/>
  </w:style>
  <w:style w:type="character" w:styleId="char110" w:customStyle="1">
    <w:name w:val="WW8Num22z1"/>
  </w:style>
  <w:style w:type="character" w:styleId="char111" w:customStyle="1">
    <w:name w:val="WW8Num22z2"/>
  </w:style>
  <w:style w:type="character" w:styleId="char112" w:customStyle="1">
    <w:name w:val="WW8Num22z3"/>
  </w:style>
  <w:style w:type="character" w:styleId="char113" w:customStyle="1">
    <w:name w:val="WW8Num22z4"/>
  </w:style>
  <w:style w:type="character" w:styleId="char114" w:customStyle="1">
    <w:name w:val="WW8Num22z5"/>
  </w:style>
  <w:style w:type="character" w:styleId="char115" w:customStyle="1">
    <w:name w:val="WW8Num22z6"/>
  </w:style>
  <w:style w:type="character" w:styleId="char116" w:customStyle="1">
    <w:name w:val="WW8Num22z7"/>
  </w:style>
  <w:style w:type="character" w:styleId="char117" w:customStyle="1">
    <w:name w:val="WW8Num22z8"/>
  </w:style>
  <w:style w:type="character" w:styleId="char118" w:customStyle="1">
    <w:name w:val="WW8Num23z0"/>
  </w:style>
  <w:style w:type="character" w:styleId="char119" w:customStyle="1">
    <w:name w:val="WW8Num23z1"/>
    <w:rPr>
      <w:rFonts w:ascii="Times New Roman" w:hAnsi="Times New Roman" w:cs="Times New Roman"/>
      <w:i w:val="0"/>
      <w:sz w:val="24"/>
      <w:szCs w:val="24"/>
    </w:rPr>
  </w:style>
  <w:style w:type="character" w:styleId="char120" w:customStyle="1">
    <w:name w:val="WW8Num24z0"/>
  </w:style>
  <w:style w:type="character" w:styleId="char121" w:customStyle="1">
    <w:name w:val="WW8Num24z1"/>
  </w:style>
  <w:style w:type="character" w:styleId="char122" w:customStyle="1">
    <w:name w:val="WW8Num24z2"/>
  </w:style>
  <w:style w:type="character" w:styleId="char123" w:customStyle="1">
    <w:name w:val="WW8Num24z3"/>
  </w:style>
  <w:style w:type="character" w:styleId="char124" w:customStyle="1">
    <w:name w:val="WW8Num24z4"/>
  </w:style>
  <w:style w:type="character" w:styleId="char125" w:customStyle="1">
    <w:name w:val="WW8Num24z5"/>
  </w:style>
  <w:style w:type="character" w:styleId="char126" w:customStyle="1">
    <w:name w:val="WW8Num24z6"/>
  </w:style>
  <w:style w:type="character" w:styleId="char127" w:customStyle="1">
    <w:name w:val="WW8Num24z7"/>
  </w:style>
  <w:style w:type="character" w:styleId="char128" w:customStyle="1">
    <w:name w:val="WW8Num24z8"/>
  </w:style>
  <w:style w:type="character" w:styleId="char129" w:customStyle="1">
    <w:name w:val="WW8Num25z0"/>
    <w:rPr>
      <w:b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styleId="char130" w:customStyle="1">
    <w:name w:val="WW8Num25z1"/>
  </w:style>
  <w:style w:type="character" w:styleId="char131" w:customStyle="1">
    <w:name w:val="WW8Num25z2"/>
  </w:style>
  <w:style w:type="character" w:styleId="char132" w:customStyle="1">
    <w:name w:val="WW8Num25z3"/>
  </w:style>
  <w:style w:type="character" w:styleId="char133" w:customStyle="1">
    <w:name w:val="WW8Num25z4"/>
  </w:style>
  <w:style w:type="character" w:styleId="char134" w:customStyle="1">
    <w:name w:val="WW8Num25z5"/>
  </w:style>
  <w:style w:type="character" w:styleId="char135" w:customStyle="1">
    <w:name w:val="WW8Num25z6"/>
  </w:style>
  <w:style w:type="character" w:styleId="char136" w:customStyle="1">
    <w:name w:val="WW8Num25z7"/>
  </w:style>
  <w:style w:type="character" w:styleId="char137" w:customStyle="1">
    <w:name w:val="WW8Num25z8"/>
  </w:style>
  <w:style w:type="character" w:styleId="char138" w:customStyle="1">
    <w:name w:val="WW8Num26z0"/>
    <w:rPr>
      <w:b w:val="0"/>
    </w:rPr>
  </w:style>
  <w:style w:type="character" w:styleId="char139" w:customStyle="1">
    <w:name w:val="WW8Num26z1"/>
  </w:style>
  <w:style w:type="character" w:styleId="char140" w:customStyle="1">
    <w:name w:val="WW8Num26z2"/>
    <w:rPr>
      <w:rFonts w:ascii="Times New Roman" w:hAnsi="Times New Roman" w:eastAsia="Times New Roman" w:cs="Times New Roman"/>
      <w:b w:val="0"/>
    </w:rPr>
  </w:style>
  <w:style w:type="character" w:styleId="char141" w:customStyle="1">
    <w:name w:val="WW8Num27z0"/>
    <w:rPr>
      <w:b w:val="0"/>
    </w:rPr>
  </w:style>
  <w:style w:type="character" w:styleId="char142" w:customStyle="1">
    <w:name w:val="WW8Num27z1"/>
  </w:style>
  <w:style w:type="character" w:styleId="char143" w:customStyle="1">
    <w:name w:val="WW8Num27z2"/>
  </w:style>
  <w:style w:type="character" w:styleId="char144" w:customStyle="1">
    <w:name w:val="WW8Num27z3"/>
  </w:style>
  <w:style w:type="character" w:styleId="char145" w:customStyle="1">
    <w:name w:val="WW8Num27z4"/>
  </w:style>
  <w:style w:type="character" w:styleId="char146" w:customStyle="1">
    <w:name w:val="WW8Num27z5"/>
  </w:style>
  <w:style w:type="character" w:styleId="char147" w:customStyle="1">
    <w:name w:val="WW8Num27z6"/>
  </w:style>
  <w:style w:type="character" w:styleId="char148" w:customStyle="1">
    <w:name w:val="WW8Num27z7"/>
  </w:style>
  <w:style w:type="character" w:styleId="char149" w:customStyle="1">
    <w:name w:val="WW8Num27z8"/>
  </w:style>
  <w:style w:type="character" w:styleId="char150" w:customStyle="1">
    <w:name w:val="WW8Num28z0"/>
  </w:style>
  <w:style w:type="character" w:styleId="char151" w:customStyle="1">
    <w:name w:val="WW8Num29z0"/>
    <w:rPr>
      <w:b w:val="0"/>
    </w:rPr>
  </w:style>
  <w:style w:type="character" w:styleId="char152" w:customStyle="1">
    <w:name w:val="WW8Num29z1"/>
  </w:style>
  <w:style w:type="character" w:styleId="char153" w:customStyle="1">
    <w:name w:val="WW8Num29z2"/>
  </w:style>
  <w:style w:type="character" w:styleId="char154" w:customStyle="1">
    <w:name w:val="WW8Num29z3"/>
  </w:style>
  <w:style w:type="character" w:styleId="char155" w:customStyle="1">
    <w:name w:val="WW8Num29z4"/>
  </w:style>
  <w:style w:type="character" w:styleId="char156" w:customStyle="1">
    <w:name w:val="WW8Num29z5"/>
  </w:style>
  <w:style w:type="character" w:styleId="char157" w:customStyle="1">
    <w:name w:val="WW8Num29z6"/>
  </w:style>
  <w:style w:type="character" w:styleId="char158" w:customStyle="1">
    <w:name w:val="WW8Num29z7"/>
  </w:style>
  <w:style w:type="character" w:styleId="char159" w:customStyle="1">
    <w:name w:val="WW8Num29z8"/>
  </w:style>
  <w:style w:type="character" w:styleId="char160" w:customStyle="1">
    <w:name w:val="WW8Num30z0"/>
    <w:rPr>
      <w:rFonts w:ascii="Times New Roman" w:hAnsi="Times New Roman" w:eastAsia="Times New Roman" w:cs="Times New Roman"/>
    </w:rPr>
  </w:style>
  <w:style w:type="character" w:styleId="char161" w:customStyle="1">
    <w:name w:val="WW8Num30z1"/>
    <w:rPr>
      <w:rFonts w:ascii="Courier New" w:hAnsi="Courier New" w:cs="Courier New"/>
    </w:rPr>
  </w:style>
  <w:style w:type="character" w:styleId="char162" w:customStyle="1">
    <w:name w:val="WW8Num30z2"/>
    <w:rPr>
      <w:rFonts w:ascii="Wingdings" w:hAnsi="Wingdings" w:cs="Wingdings"/>
    </w:rPr>
  </w:style>
  <w:style w:type="character" w:styleId="char163" w:customStyle="1">
    <w:name w:val="WW8Num30z3"/>
    <w:rPr>
      <w:rFonts w:ascii="Symbol" w:hAnsi="Symbol" w:cs="Symbol"/>
    </w:rPr>
  </w:style>
  <w:style w:type="character" w:styleId="char164" w:customStyle="1">
    <w:name w:val="WW8Num31z0"/>
  </w:style>
  <w:style w:type="character" w:styleId="char165" w:customStyle="1">
    <w:name w:val="WW8Num32z0"/>
  </w:style>
  <w:style w:type="character" w:styleId="char166" w:customStyle="1">
    <w:name w:val="WW8Num32z1"/>
  </w:style>
  <w:style w:type="character" w:styleId="char167" w:customStyle="1">
    <w:name w:val="WW8Num32z2"/>
  </w:style>
  <w:style w:type="character" w:styleId="char168" w:customStyle="1">
    <w:name w:val="WW8Num32z3"/>
  </w:style>
  <w:style w:type="character" w:styleId="char169" w:customStyle="1">
    <w:name w:val="WW8Num32z4"/>
  </w:style>
  <w:style w:type="character" w:styleId="char170" w:customStyle="1">
    <w:name w:val="WW8Num32z5"/>
  </w:style>
  <w:style w:type="character" w:styleId="char171" w:customStyle="1">
    <w:name w:val="WW8Num32z6"/>
  </w:style>
  <w:style w:type="character" w:styleId="char172" w:customStyle="1">
    <w:name w:val="WW8Num32z7"/>
  </w:style>
  <w:style w:type="character" w:styleId="char173" w:customStyle="1">
    <w:name w:val="WW8Num32z8"/>
  </w:style>
  <w:style w:type="character" w:styleId="char174" w:customStyle="1">
    <w:name w:val="WW8Num33z0"/>
  </w:style>
  <w:style w:type="character" w:styleId="char175" w:customStyle="1">
    <w:name w:val="WW8Num33z1"/>
  </w:style>
  <w:style w:type="character" w:styleId="char176" w:customStyle="1">
    <w:name w:val="WW8Num33z2"/>
  </w:style>
  <w:style w:type="character" w:styleId="char177" w:customStyle="1">
    <w:name w:val="WW8Num33z3"/>
  </w:style>
  <w:style w:type="character" w:styleId="char178" w:customStyle="1">
    <w:name w:val="WW8Num33z4"/>
  </w:style>
  <w:style w:type="character" w:styleId="char179" w:customStyle="1">
    <w:name w:val="WW8Num33z5"/>
  </w:style>
  <w:style w:type="character" w:styleId="char180" w:customStyle="1">
    <w:name w:val="WW8Num33z6"/>
  </w:style>
  <w:style w:type="character" w:styleId="char181" w:customStyle="1">
    <w:name w:val="WW8Num33z7"/>
  </w:style>
  <w:style w:type="character" w:styleId="char182" w:customStyle="1">
    <w:name w:val="WW8Num33z8"/>
  </w:style>
  <w:style w:type="character" w:styleId="char183" w:customStyle="1">
    <w:name w:val="WW8Num34z0"/>
  </w:style>
  <w:style w:type="character" w:styleId="char184" w:customStyle="1">
    <w:name w:val="WW8Num34z1"/>
  </w:style>
  <w:style w:type="character" w:styleId="char185" w:customStyle="1">
    <w:name w:val="WW8Num34z2"/>
  </w:style>
  <w:style w:type="character" w:styleId="char186" w:customStyle="1">
    <w:name w:val="WW8Num34z3"/>
  </w:style>
  <w:style w:type="character" w:styleId="char187" w:customStyle="1">
    <w:name w:val="WW8Num34z4"/>
  </w:style>
  <w:style w:type="character" w:styleId="char188" w:customStyle="1">
    <w:name w:val="WW8Num34z5"/>
  </w:style>
  <w:style w:type="character" w:styleId="char189" w:customStyle="1">
    <w:name w:val="WW8Num34z6"/>
  </w:style>
  <w:style w:type="character" w:styleId="char190" w:customStyle="1">
    <w:name w:val="WW8Num34z7"/>
  </w:style>
  <w:style w:type="character" w:styleId="char191" w:customStyle="1">
    <w:name w:val="WW8Num34z8"/>
  </w:style>
  <w:style w:type="character" w:styleId="char192" w:customStyle="1">
    <w:name w:val="WW8Num35z0"/>
    <w:rPr>
      <w:rFonts w:ascii="Times New Roman" w:hAnsi="Times New Roman" w:cs="Calibri"/>
      <w:b w:val="0"/>
    </w:rPr>
  </w:style>
  <w:style w:type="character" w:styleId="char193" w:customStyle="1">
    <w:name w:val="WW8Num35z1"/>
    <w:rPr>
      <w:rFonts w:ascii="Times New Roman" w:hAnsi="Times New Roman" w:eastAsia="Calibri" w:cs="Times New Roman"/>
    </w:rPr>
  </w:style>
  <w:style w:type="character" w:styleId="char194" w:customStyle="1">
    <w:name w:val="WW8Num35z2"/>
    <w:rPr>
      <w:rFonts w:ascii="Symbol" w:hAnsi="Symbol" w:cs="OpenSymbol"/>
    </w:rPr>
  </w:style>
  <w:style w:type="character" w:styleId="char195" w:customStyle="1">
    <w:name w:val="WW8Num36z0"/>
    <w:rPr>
      <w:rFonts w:ascii="Symbol" w:hAnsi="Symbol" w:cs="Symbol"/>
    </w:rPr>
  </w:style>
  <w:style w:type="character" w:styleId="char196" w:customStyle="1">
    <w:name w:val="WW8Num36z1"/>
    <w:rPr>
      <w:rFonts w:ascii="Courier New" w:hAnsi="Courier New" w:cs="Courier New"/>
    </w:rPr>
  </w:style>
  <w:style w:type="character" w:styleId="char197" w:customStyle="1">
    <w:name w:val="WW8Num36z2"/>
    <w:rPr>
      <w:rFonts w:ascii="Wingdings" w:hAnsi="Wingdings" w:cs="Wingdings"/>
    </w:rPr>
  </w:style>
  <w:style w:type="character" w:styleId="char198" w:customStyle="1">
    <w:name w:val="WW8Num37z0"/>
    <w:rPr>
      <w:rFonts w:ascii="Symbol" w:hAnsi="Symbol" w:cs="Symbol"/>
      <w:szCs w:val="24"/>
    </w:rPr>
  </w:style>
  <w:style w:type="character" w:styleId="char199" w:customStyle="1">
    <w:name w:val="WW8Num37z1"/>
    <w:rPr>
      <w:rFonts w:ascii="Courier New" w:hAnsi="Courier New" w:cs="Courier New"/>
    </w:rPr>
  </w:style>
  <w:style w:type="character" w:styleId="char200" w:customStyle="1">
    <w:name w:val="WW8Num37z2"/>
    <w:rPr>
      <w:rFonts w:ascii="Wingdings" w:hAnsi="Wingdings" w:cs="Wingdings"/>
    </w:rPr>
  </w:style>
  <w:style w:type="character" w:styleId="char201" w:customStyle="1">
    <w:name w:val="WW8Num38z0"/>
  </w:style>
  <w:style w:type="character" w:styleId="char202" w:customStyle="1">
    <w:name w:val="WW8Num38z1"/>
  </w:style>
  <w:style w:type="character" w:styleId="char203" w:customStyle="1">
    <w:name w:val="WW8Num38z2"/>
  </w:style>
  <w:style w:type="character" w:styleId="char204" w:customStyle="1">
    <w:name w:val="WW8Num38z3"/>
  </w:style>
  <w:style w:type="character" w:styleId="char205" w:customStyle="1">
    <w:name w:val="WW8Num38z4"/>
  </w:style>
  <w:style w:type="character" w:styleId="char206" w:customStyle="1">
    <w:name w:val="WW8Num38z5"/>
  </w:style>
  <w:style w:type="character" w:styleId="char207" w:customStyle="1">
    <w:name w:val="WW8Num38z6"/>
  </w:style>
  <w:style w:type="character" w:styleId="char208" w:customStyle="1">
    <w:name w:val="WW8Num38z7"/>
  </w:style>
  <w:style w:type="character" w:styleId="char209" w:customStyle="1">
    <w:name w:val="WW8Num38z8"/>
  </w:style>
  <w:style w:type="character" w:styleId="char210" w:customStyle="1">
    <w:name w:val="WW8Num39z0"/>
  </w:style>
  <w:style w:type="character" w:styleId="char211" w:customStyle="1">
    <w:name w:val="WW8Num40z0"/>
    <w:rPr>
      <w:rFonts w:ascii="Symbol" w:hAnsi="Symbol" w:cs="Symbol"/>
    </w:rPr>
  </w:style>
  <w:style w:type="character" w:styleId="char212" w:customStyle="1">
    <w:name w:val="WW8Num40z1"/>
    <w:rPr>
      <w:rFonts w:ascii="Courier New" w:hAnsi="Courier New" w:cs="Courier New"/>
    </w:rPr>
  </w:style>
  <w:style w:type="character" w:styleId="char213" w:customStyle="1">
    <w:name w:val="WW8Num40z2"/>
    <w:rPr>
      <w:rFonts w:ascii="Wingdings" w:hAnsi="Wingdings" w:cs="Wingdings"/>
    </w:rPr>
  </w:style>
  <w:style w:type="character" w:styleId="char214" w:customStyle="1">
    <w:name w:val="WW8Num41z0"/>
    <w:rPr>
      <w:rFonts w:cs="Times New Roman"/>
    </w:rPr>
  </w:style>
  <w:style w:type="character" w:styleId="char215" w:customStyle="1">
    <w:name w:val="WW8Num41z1"/>
  </w:style>
  <w:style w:type="character" w:styleId="char216" w:customStyle="1">
    <w:name w:val="WW8Num41z2"/>
  </w:style>
  <w:style w:type="character" w:styleId="char217" w:customStyle="1">
    <w:name w:val="WW8Num41z3"/>
  </w:style>
  <w:style w:type="character" w:styleId="char218" w:customStyle="1">
    <w:name w:val="WW8Num41z4"/>
  </w:style>
  <w:style w:type="character" w:styleId="char219" w:customStyle="1">
    <w:name w:val="WW8Num41z5"/>
  </w:style>
  <w:style w:type="character" w:styleId="char220" w:customStyle="1">
    <w:name w:val="WW8Num41z6"/>
  </w:style>
  <w:style w:type="character" w:styleId="char221" w:customStyle="1">
    <w:name w:val="WW8Num41z7"/>
  </w:style>
  <w:style w:type="character" w:styleId="char222" w:customStyle="1">
    <w:name w:val="WW8Num41z8"/>
  </w:style>
  <w:style w:type="character" w:styleId="char223" w:customStyle="1">
    <w:name w:val="Domyślna czcionka akapitu1"/>
  </w:style>
  <w:style w:type="character" w:styleId="char224" w:customStyle="1">
    <w:name w:val="Łącze internetowe"/>
    <w:rPr>
      <w:color w:val="0000ff"/>
      <w:u w:color="auto" w:val="single"/>
    </w:rPr>
  </w:style>
  <w:style w:type="character" w:styleId="char225" w:customStyle="1">
    <w:name w:val="Znaki przypisów końcowych"/>
    <w:rPr>
      <w:vertAlign w:val="superscript"/>
    </w:rPr>
  </w:style>
  <w:style w:type="character" w:styleId="char226">
    <w:name w:val="Page Number"/>
  </w:style>
  <w:style w:type="character" w:styleId="char227" w:customStyle="1">
    <w:name w:val="dane1"/>
    <w:rPr>
      <w:color w:val="0000cd"/>
    </w:rPr>
  </w:style>
  <w:style w:type="character" w:styleId="char228" w:customStyle="1">
    <w:name w:val="Tekst podstawowy Znak"/>
    <w:rPr>
      <w:b/>
      <w:sz w:val="28"/>
    </w:rPr>
  </w:style>
  <w:style w:type="character" w:styleId="char229" w:customStyle="1">
    <w:name w:val="Tekst podstawowy 3 Znak"/>
    <w:rPr>
      <w:sz w:val="16"/>
      <w:szCs w:val="16"/>
    </w:rPr>
  </w:style>
  <w:style w:type="character" w:styleId="char230" w:customStyle="1">
    <w:name w:val="Font Style51"/>
    <w:rPr>
      <w:rFonts w:ascii="Times New Roman" w:hAnsi="Times New Roman" w:cs="Times New Roman"/>
      <w:sz w:val="22"/>
      <w:szCs w:val="22"/>
    </w:rPr>
  </w:style>
  <w:style w:type="character" w:styleId="char231" w:customStyle="1">
    <w:name w:val="Font Style44"/>
    <w:rPr>
      <w:rFonts w:ascii="Times New Roman" w:hAnsi="Times New Roman" w:cs="Times New Roman"/>
      <w:b/>
      <w:bCs/>
      <w:sz w:val="22"/>
      <w:szCs w:val="22"/>
    </w:rPr>
  </w:style>
  <w:style w:type="character" w:styleId="char232" w:customStyle="1">
    <w:name w:val="Font Style48"/>
    <w:rPr>
      <w:rFonts w:ascii="Times New Roman" w:hAnsi="Times New Roman" w:cs="Times New Roman"/>
      <w:b/>
      <w:bCs/>
      <w:sz w:val="22"/>
      <w:szCs w:val="22"/>
    </w:rPr>
  </w:style>
  <w:style w:type="character" w:styleId="char233" w:customStyle="1">
    <w:name w:val="Tytuł Znak"/>
    <w:rPr>
      <w:rFonts w:ascii="Albany" w:hAnsi="Albany" w:eastAsia="HG Mincho Light J" w:cs="Arial"/>
      <w:sz w:val="28"/>
    </w:rPr>
  </w:style>
  <w:style w:type="character" w:styleId="char234" w:customStyle="1">
    <w:name w:val="Tekst podstawowy 2 Znak"/>
    <w:rPr>
      <w:sz w:val="24"/>
    </w:rPr>
  </w:style>
  <w:style w:type="character" w:styleId="char235" w:customStyle="1">
    <w:name w:val="Odwołanie do komentarza1"/>
    <w:rPr>
      <w:sz w:val="16"/>
      <w:szCs w:val="16"/>
    </w:rPr>
  </w:style>
  <w:style w:type="character" w:styleId="char236" w:customStyle="1">
    <w:name w:val="Tekst komentarza Znak"/>
  </w:style>
  <w:style w:type="character" w:styleId="char237" w:customStyle="1">
    <w:name w:val="Temat komentarza Znak"/>
    <w:rPr>
      <w:b/>
      <w:bCs/>
    </w:rPr>
  </w:style>
  <w:style w:type="character" w:styleId="char238" w:customStyle="1">
    <w:name w:val="Nagłówek 8 Znak"/>
    <w:rPr>
      <w:b/>
      <w:bCs/>
      <w:sz w:val="24"/>
    </w:rPr>
  </w:style>
  <w:style w:type="character" w:styleId="char239" w:customStyle="1">
    <w:name w:val="Nagłówek Znak"/>
    <w:rPr>
      <w:sz w:val="24"/>
    </w:rPr>
  </w:style>
  <w:style w:type="character" w:styleId="char240" w:customStyle="1">
    <w:name w:val="Stopka Znak"/>
    <w:rPr>
      <w:sz w:val="24"/>
    </w:rPr>
  </w:style>
  <w:style w:type="character" w:styleId="char241" w:customStyle="1">
    <w:name w:val="Zwykły tekst Znak"/>
    <w:rPr>
      <w:rFonts w:ascii="Courier New" w:hAnsi="Courier New" w:cs="Courier New"/>
    </w:rPr>
  </w:style>
  <w:style w:type="character" w:styleId="char242" w:customStyle="1">
    <w:name w:val="Nagłówek 3 Znak"/>
    <w:rPr>
      <w:sz w:val="32"/>
    </w:rPr>
  </w:style>
  <w:style w:type="character" w:styleId="char243" w:customStyle="1">
    <w:name w:val="tabulatory"/>
  </w:style>
  <w:style w:type="character" w:styleId="char244" w:customStyle="1">
    <w:name w:val="txt-new"/>
  </w:style>
  <w:style w:type="character" w:styleId="char245" w:customStyle="1">
    <w:name w:val="textnode"/>
  </w:style>
  <w:style w:type="character" w:styleId="char246" w:customStyle="1">
    <w:name w:val="highlight"/>
  </w:style>
  <w:style w:type="character" w:styleId="char247" w:customStyle="1">
    <w:name w:val="Wyróżnienie"/>
    <w:rPr>
      <w:i/>
      <w:iCs/>
    </w:rPr>
  </w:style>
  <w:style w:type="character" w:styleId="char248" w:customStyle="1">
    <w:name w:val="NormalBold Char"/>
    <w:rPr>
      <w:b/>
      <w:sz w:val="24"/>
      <w:szCs w:val="22"/>
    </w:rPr>
  </w:style>
  <w:style w:type="character" w:styleId="char249" w:customStyle="1">
    <w:name w:val="DeltaView Insertion"/>
    <w:rPr>
      <w:b/>
      <w:i/>
      <w:spacing w:val="0"/>
    </w:rPr>
  </w:style>
  <w:style w:type="character" w:styleId="char250" w:customStyle="1">
    <w:name w:val="Tekst przypisu dolnego Znak"/>
    <w:rPr>
      <w:rFonts w:eastAsia="Calibri"/>
    </w:rPr>
  </w:style>
  <w:style w:type="character" w:styleId="char251" w:customStyle="1">
    <w:name w:val="Znaki przypisów dolnych"/>
  </w:style>
  <w:style w:type="character" w:styleId="char252" w:customStyle="1">
    <w:name w:val="Nagłówek 1 Znak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253" w:customStyle="1">
    <w:name w:val="Tekst podstawowy wcięty 2 Znak"/>
    <w:rPr>
      <w:sz w:val="24"/>
    </w:rPr>
  </w:style>
  <w:style w:type="character" w:styleId="char254" w:customStyle="1">
    <w:name w:val="Tekst podstawowy wcięty Znak"/>
    <w:rPr>
      <w:sz w:val="24"/>
      <w:szCs w:val="24"/>
    </w:rPr>
  </w:style>
  <w:style w:type="character" w:styleId="char255">
    <w:name w:val="Strong"/>
    <w:rPr>
      <w:b/>
      <w:bCs/>
    </w:rPr>
  </w:style>
  <w:style w:type="character" w:styleId="char256" w:customStyle="1">
    <w:name w:val="Font Style32"/>
    <w:rPr>
      <w:rFonts w:ascii="Times New Roman" w:hAnsi="Times New Roman" w:cs="Times New Roman"/>
      <w:sz w:val="22"/>
      <w:szCs w:val="22"/>
    </w:rPr>
  </w:style>
  <w:style w:type="character" w:styleId="char257" w:customStyle="1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styleId="char258" w:customStyle="1">
    <w:name w:val="Tekst dymka Znak"/>
    <w:rPr>
      <w:rFonts w:ascii="Tahoma" w:hAnsi="Tahoma" w:cs="Tahoma"/>
      <w:sz w:val="16"/>
      <w:szCs w:val="16"/>
    </w:rPr>
  </w:style>
  <w:style w:type="character" w:styleId="char259" w:customStyle="1">
    <w:name w:val="a_lb"/>
  </w:style>
  <w:style w:type="character" w:styleId="char260" w:customStyle="1">
    <w:name w:val="a_lb-s"/>
  </w:style>
  <w:style w:type="character" w:styleId="char261" w:customStyle="1">
    <w:name w:val="Akapit z listą Znak"/>
    <w:rPr>
      <w:sz w:val="24"/>
    </w:rPr>
  </w:style>
  <w:style w:type="character" w:styleId="char262" w:customStyle="1">
    <w:name w:val="Standard Znak"/>
    <w:rPr>
      <w:sz w:val="24"/>
      <w:szCs w:val="24"/>
      <w:lang w:bidi="ar-sa"/>
    </w:rPr>
  </w:style>
  <w:style w:type="character" w:styleId="char263" w:customStyle="1">
    <w:name w:val="Znaki wypunktowania"/>
    <w:rPr>
      <w:rFonts w:ascii="OpenSymbol" w:hAnsi="OpenSymbol" w:eastAsia="OpenSymbol" w:cs="OpenSymbol"/>
    </w:rPr>
  </w:style>
  <w:style w:type="character" w:styleId="char264" w:customStyle="1">
    <w:name w:val="Znaki numeracji"/>
  </w:style>
  <w:style w:type="character" w:styleId="char265" w:customStyle="1">
    <w:name w:val="Tekst dymka Znak1"/>
    <w:basedOn w:val="char0"/>
    <w:rPr>
      <w:rFonts w:ascii="Tahoma" w:hAnsi="Tahoma" w:eastAsia="Times New Roman" w:cs="Tahoma"/>
      <w:sz w:val="16"/>
      <w:szCs w:val="16"/>
    </w:rPr>
  </w:style>
  <w:style w:type="character" w:styleId="char266" w:customStyle="1">
    <w:name w:val="ListLabel 1"/>
    <w:rPr>
      <w:rFonts w:eastAsia="Symbol" w:cs="Symbol"/>
    </w:rPr>
  </w:style>
  <w:style w:type="character" w:styleId="char267" w:customStyle="1">
    <w:name w:val="ListLabel 2"/>
    <w:rPr>
      <w:rFonts w:eastAsia="OpenSymbol" w:cs="OpenSymbol"/>
    </w:rPr>
  </w:style>
  <w:style w:type="character" w:styleId="char268" w:customStyle="1">
    <w:name w:val="ListLabel 3"/>
    <w:rPr>
      <w:rFonts w:eastAsia="OpenSymbol" w:cs="OpenSymbol"/>
    </w:rPr>
  </w:style>
  <w:style w:type="character" w:styleId="char269" w:customStyle="1">
    <w:name w:val="ListLabel 4"/>
    <w:rPr>
      <w:rFonts w:eastAsia="Symbol" w:cs="Symbol"/>
    </w:rPr>
  </w:style>
  <w:style w:type="character" w:styleId="char270" w:customStyle="1">
    <w:name w:val="ListLabel 5"/>
    <w:rPr>
      <w:rFonts w:eastAsia="OpenSymbol" w:cs="OpenSymbol"/>
    </w:rPr>
  </w:style>
  <w:style w:type="character" w:styleId="char271" w:customStyle="1">
    <w:name w:val="ListLabel 6"/>
    <w:rPr>
      <w:rFonts w:eastAsia="OpenSymbol" w:cs="OpenSymbol"/>
    </w:rPr>
  </w:style>
  <w:style w:type="character" w:styleId="char272" w:customStyle="1">
    <w:name w:val="ListLabel 7"/>
    <w:rPr>
      <w:rFonts w:eastAsia="Symbol" w:cs="Symbol"/>
    </w:rPr>
  </w:style>
  <w:style w:type="character" w:styleId="char273" w:customStyle="1">
    <w:name w:val="ListLabel 8"/>
    <w:rPr>
      <w:rFonts w:eastAsia="OpenSymbol" w:cs="OpenSymbol"/>
    </w:rPr>
  </w:style>
  <w:style w:type="character" w:styleId="char274" w:customStyle="1">
    <w:name w:val="ListLabel 9"/>
    <w:rPr>
      <w:rFonts w:eastAsia="OpenSymbol" w:cs="OpenSymbol"/>
    </w:rPr>
  </w:style>
  <w:style w:type="character" w:styleId="char275" w:customStyle="1">
    <w:name w:val="ListLabel 10"/>
    <w:rPr>
      <w:rFonts w:ascii="Calibri" w:hAnsi="Calibri" w:eastAsia="Symbol" w:cs="Symbol"/>
    </w:rPr>
  </w:style>
  <w:style w:type="character" w:styleId="char276" w:customStyle="1">
    <w:name w:val="ListLabel 11"/>
    <w:rPr>
      <w:rFonts w:eastAsia="OpenSymbol" w:cs="OpenSymbol"/>
    </w:rPr>
  </w:style>
  <w:style w:type="character" w:styleId="char277" w:customStyle="1">
    <w:name w:val="ListLabel 12"/>
    <w:rPr>
      <w:rFonts w:eastAsia="OpenSymbol" w:cs="OpenSymbol"/>
    </w:rPr>
  </w:style>
  <w:style w:type="character" w:styleId="char278" w:customStyle="1">
    <w:name w:val="ListLabel 13"/>
    <w:rPr>
      <w:rFonts w:eastAsia="Symbol" w:cs="Symbol"/>
    </w:rPr>
  </w:style>
  <w:style w:type="character" w:styleId="char279" w:customStyle="1">
    <w:name w:val="ListLabel 14"/>
    <w:rPr>
      <w:rFonts w:eastAsia="OpenSymbol" w:cs="OpenSymbol"/>
    </w:rPr>
  </w:style>
  <w:style w:type="character" w:styleId="char280" w:customStyle="1">
    <w:name w:val="ListLabel 15"/>
    <w:rPr>
      <w:rFonts w:eastAsia="OpenSymbol" w:cs="OpenSymbol"/>
    </w:rPr>
  </w:style>
  <w:style w:type="character" w:styleId="char281" w:customStyle="1">
    <w:name w:val="ListLabel 16"/>
    <w:rPr>
      <w:rFonts w:eastAsia="Symbol" w:cs="Symbol"/>
    </w:rPr>
  </w:style>
  <w:style w:type="character" w:styleId="char282" w:customStyle="1">
    <w:name w:val="ListLabel 17"/>
    <w:rPr>
      <w:rFonts w:eastAsia="OpenSymbol" w:cs="OpenSymbol"/>
    </w:rPr>
  </w:style>
  <w:style w:type="character" w:styleId="char283" w:customStyle="1">
    <w:name w:val="ListLabel 18"/>
    <w:rPr>
      <w:rFonts w:eastAsia="OpenSymbol" w:cs="OpenSymbol"/>
    </w:rPr>
  </w:style>
  <w:style w:type="character" w:styleId="char284" w:customStyle="1">
    <w:name w:val="ListLabel 19"/>
    <w:rPr>
      <w:b/>
      <w:caps w:val="0"/>
      <w:smallCaps w:val="0"/>
      <w:sz w:val="22"/>
    </w:rPr>
  </w:style>
  <w:style w:type="character" w:styleId="char285" w:customStyle="1">
    <w:name w:val="ListLabel 20"/>
    <w:rPr>
      <w:rFonts w:cs="Times New Roman"/>
      <w:sz w:val="24"/>
    </w:rPr>
  </w:style>
  <w:style w:type="character" w:styleId="char286" w:customStyle="1">
    <w:name w:val="ListLabel 21"/>
    <w:rPr>
      <w:rFonts w:eastAsia="Symbol" w:cs="Symbol"/>
    </w:rPr>
  </w:style>
  <w:style w:type="character" w:styleId="char287" w:customStyle="1">
    <w:name w:val="ListLabel 22"/>
    <w:rPr>
      <w:rFonts w:eastAsia="Liberation Serif" w:cs="Liberation Serif"/>
    </w:rPr>
  </w:style>
  <w:style w:type="character" w:styleId="char288" w:customStyle="1">
    <w:name w:val="ListLabel 23"/>
    <w:rPr>
      <w:rFonts w:eastAsia="Symbol" w:cs="Symbol"/>
    </w:rPr>
  </w:style>
  <w:style w:type="character" w:styleId="char289" w:customStyle="1">
    <w:name w:val="ListLabel 24"/>
    <w:rPr>
      <w:rFonts w:eastAsia="Times New Roman" w:cs="Times New Roman"/>
    </w:rPr>
  </w:style>
  <w:style w:type="character" w:styleId="char290" w:customStyle="1">
    <w:name w:val="ListLabel 25"/>
    <w:rPr>
      <w:rFonts w:eastAsia="Symbol" w:cs="Symbol"/>
    </w:rPr>
  </w:style>
  <w:style w:type="character" w:styleId="char291" w:customStyle="1">
    <w:name w:val="ListLabel 26"/>
    <w:rPr>
      <w:rFonts w:eastAsia="OpenSymbol" w:cs="OpenSymbol"/>
    </w:rPr>
  </w:style>
  <w:style w:type="character" w:styleId="char292" w:customStyle="1">
    <w:name w:val="ListLabel 27"/>
    <w:rPr>
      <w:rFonts w:eastAsia="OpenSymbol" w:cs="OpenSymbol"/>
    </w:rPr>
  </w:style>
  <w:style w:type="character" w:styleId="char293" w:customStyle="1">
    <w:name w:val="ListLabel 28"/>
    <w:rPr>
      <w:rFonts w:eastAsia="Symbol" w:cs="Symbol"/>
    </w:rPr>
  </w:style>
  <w:style w:type="character" w:styleId="char294" w:customStyle="1">
    <w:name w:val="ListLabel 29"/>
    <w:rPr>
      <w:rFonts w:eastAsia="OpenSymbol" w:cs="OpenSymbol"/>
    </w:rPr>
  </w:style>
  <w:style w:type="character" w:styleId="char295" w:customStyle="1">
    <w:name w:val="ListLabel 30"/>
    <w:rPr>
      <w:rFonts w:eastAsia="OpenSymbol" w:cs="OpenSymbol"/>
    </w:rPr>
  </w:style>
  <w:style w:type="character" w:styleId="char296" w:customStyle="1">
    <w:name w:val="ListLabel 31"/>
    <w:rPr>
      <w:rFonts w:eastAsia="Symbol" w:cs="Symbol"/>
    </w:rPr>
  </w:style>
  <w:style w:type="character" w:styleId="char297" w:customStyle="1">
    <w:name w:val="ListLabel 32"/>
    <w:rPr>
      <w:rFonts w:eastAsia="OpenSymbol" w:cs="OpenSymbol"/>
    </w:rPr>
  </w:style>
  <w:style w:type="character" w:styleId="char298" w:customStyle="1">
    <w:name w:val="ListLabel 33"/>
    <w:rPr>
      <w:rFonts w:eastAsia="OpenSymbol" w:cs="OpenSymbol"/>
    </w:rPr>
  </w:style>
  <w:style w:type="character" w:styleId="char299" w:customStyle="1">
    <w:name w:val="ListLabel 34"/>
    <w:rPr>
      <w:rFonts w:ascii="Calibri" w:hAnsi="Calibri" w:eastAsia="Wingdings" w:cs="Wingdings"/>
    </w:rPr>
  </w:style>
  <w:style w:type="character" w:styleId="char300" w:customStyle="1">
    <w:name w:val="ListLabel 35"/>
    <w:rPr>
      <w:rFonts w:eastAsia="Liberation Serif" w:cs="Liberation Serif"/>
    </w:rPr>
  </w:style>
  <w:style w:type="character" w:styleId="char301" w:customStyle="1">
    <w:name w:val="ListLabel 36"/>
    <w:rPr>
      <w:rFonts w:eastAsia="Symbol" w:cs="Symbol"/>
    </w:rPr>
  </w:style>
  <w:style w:type="character" w:styleId="char302" w:customStyle="1">
    <w:name w:val="ListLabel 37"/>
    <w:rPr>
      <w:rFonts w:eastAsia="OpenSymbol" w:cs="OpenSymbol"/>
    </w:rPr>
  </w:style>
  <w:style w:type="character" w:styleId="char303" w:customStyle="1">
    <w:name w:val="ListLabel 38"/>
    <w:rPr>
      <w:rFonts w:eastAsia="OpenSymbol" w:cs="OpenSymbol"/>
    </w:rPr>
  </w:style>
  <w:style w:type="character" w:styleId="char304" w:customStyle="1">
    <w:name w:val="ListLabel 39"/>
    <w:rPr>
      <w:rFonts w:eastAsia="Symbol" w:cs="Symbol"/>
    </w:rPr>
  </w:style>
  <w:style w:type="character" w:styleId="char305" w:customStyle="1">
    <w:name w:val="ListLabel 40"/>
    <w:rPr>
      <w:rFonts w:eastAsia="OpenSymbol" w:cs="OpenSymbol"/>
    </w:rPr>
  </w:style>
  <w:style w:type="character" w:styleId="char306" w:customStyle="1">
    <w:name w:val="ListLabel 41"/>
    <w:rPr>
      <w:rFonts w:eastAsia="OpenSymbol" w:cs="OpenSymbol"/>
    </w:rPr>
  </w:style>
  <w:style w:type="character" w:styleId="char307" w:customStyle="1">
    <w:name w:val="ListLabel 42"/>
    <w:rPr>
      <w:rFonts w:eastAsia="Symbol" w:cs="Symbol"/>
    </w:rPr>
  </w:style>
  <w:style w:type="character" w:styleId="char308" w:customStyle="1">
    <w:name w:val="ListLabel 43"/>
    <w:rPr>
      <w:rFonts w:eastAsia="OpenSymbol" w:cs="OpenSymbol"/>
    </w:rPr>
  </w:style>
  <w:style w:type="character" w:styleId="char309" w:customStyle="1">
    <w:name w:val="ListLabel 44"/>
    <w:rPr>
      <w:rFonts w:eastAsia="OpenSymbol" w:cs="OpenSymbol"/>
    </w:rPr>
  </w:style>
  <w:style w:type="character" w:styleId="char310" w:customStyle="1">
    <w:name w:val="ListLabel 45"/>
    <w:rPr>
      <w:rFonts w:eastAsia="Symbol" w:cs="Symbol"/>
    </w:rPr>
  </w:style>
  <w:style w:type="character" w:styleId="char311" w:customStyle="1">
    <w:name w:val="ListLabel 46"/>
    <w:rPr>
      <w:rFonts w:eastAsia="OpenSymbol" w:cs="OpenSymbol"/>
    </w:rPr>
  </w:style>
  <w:style w:type="character" w:styleId="char312" w:customStyle="1">
    <w:name w:val="ListLabel 47"/>
    <w:rPr>
      <w:rFonts w:eastAsia="OpenSymbol" w:cs="OpenSymbol"/>
    </w:rPr>
  </w:style>
  <w:style w:type="character" w:styleId="char313" w:customStyle="1">
    <w:name w:val="ListLabel 48"/>
    <w:rPr>
      <w:rFonts w:eastAsia="Symbol" w:cs="Symbol"/>
    </w:rPr>
  </w:style>
  <w:style w:type="character" w:styleId="char314" w:customStyle="1">
    <w:name w:val="ListLabel 49"/>
    <w:rPr>
      <w:rFonts w:eastAsia="OpenSymbol" w:cs="OpenSymbol"/>
    </w:rPr>
  </w:style>
  <w:style w:type="character" w:styleId="char315" w:customStyle="1">
    <w:name w:val="ListLabel 50"/>
    <w:rPr>
      <w:rFonts w:eastAsia="OpenSymbol" w:cs="OpenSymbol"/>
    </w:rPr>
  </w:style>
  <w:style w:type="character" w:styleId="char316" w:customStyle="1">
    <w:name w:val="ListLabel 51"/>
    <w:rPr>
      <w:rFonts w:eastAsia="Symbol" w:cs="Symbol"/>
    </w:rPr>
  </w:style>
  <w:style w:type="character" w:styleId="char317" w:customStyle="1">
    <w:name w:val="ListLabel 52"/>
    <w:rPr>
      <w:rFonts w:eastAsia="OpenSymbol" w:cs="OpenSymbol"/>
    </w:rPr>
  </w:style>
  <w:style w:type="character" w:styleId="char318" w:customStyle="1">
    <w:name w:val="ListLabel 53"/>
    <w:rPr>
      <w:rFonts w:eastAsia="OpenSymbol" w:cs="OpenSymbol"/>
    </w:rPr>
  </w:style>
  <w:style w:type="character" w:styleId="char319" w:customStyle="1">
    <w:name w:val="ListLabel 54"/>
    <w:rPr>
      <w:rFonts w:eastAsia="Symbol" w:cs="Symbol"/>
    </w:rPr>
  </w:style>
  <w:style w:type="character" w:styleId="char320" w:customStyle="1">
    <w:name w:val="ListLabel 55"/>
    <w:rPr>
      <w:rFonts w:eastAsia="Symbol" w:cs="Symbol"/>
    </w:rPr>
  </w:style>
  <w:style w:type="character" w:styleId="char321" w:customStyle="1">
    <w:name w:val="ListLabel 56"/>
    <w:rPr>
      <w:rFonts w:eastAsia="Symbol" w:cs="Symbol"/>
    </w:rPr>
  </w:style>
  <w:style w:type="character" w:styleId="char322" w:customStyle="1">
    <w:name w:val="ListLabel 57"/>
    <w:rPr>
      <w:rFonts w:eastAsia="Symbol" w:cs="Symbol"/>
    </w:rPr>
  </w:style>
  <w:style w:type="character" w:styleId="char323" w:customStyle="1">
    <w:name w:val="ListLabel 58"/>
    <w:rPr>
      <w:rFonts w:eastAsia="Symbol" w:cs="Symbol"/>
    </w:rPr>
  </w:style>
  <w:style w:type="character" w:styleId="char324" w:customStyle="1">
    <w:name w:val="ListLabel 59"/>
    <w:rPr>
      <w:rFonts w:eastAsia="Symbol" w:cs="Symbol"/>
    </w:rPr>
  </w:style>
  <w:style w:type="character" w:styleId="char325" w:customStyle="1">
    <w:name w:val="ListLabel 60"/>
    <w:rPr>
      <w:rFonts w:eastAsia="Symbol" w:cs="Symbol"/>
    </w:rPr>
  </w:style>
  <w:style w:type="character" w:styleId="char326" w:customStyle="1">
    <w:name w:val="ListLabel 61"/>
    <w:rPr>
      <w:rFonts w:eastAsia="Symbol" w:cs="Symbol"/>
    </w:rPr>
  </w:style>
  <w:style w:type="character" w:styleId="char327" w:customStyle="1">
    <w:name w:val="ListLabel 62"/>
    <w:rPr>
      <w:rFonts w:eastAsia="Symbol" w:cs="Symbol"/>
    </w:rPr>
  </w:style>
  <w:style w:type="character" w:styleId="char328" w:customStyle="1">
    <w:name w:val="ListLabel 63"/>
    <w:rPr>
      <w:rFonts w:eastAsia="Wingdings" w:cs="Wingdings"/>
    </w:rPr>
  </w:style>
  <w:style w:type="character" w:styleId="char329" w:customStyle="1">
    <w:name w:val="ListLabel 64"/>
    <w:rPr>
      <w:rFonts w:ascii="Calibri" w:hAnsi="Calibri" w:eastAsia="Wingdings" w:cs="Wingdings"/>
    </w:rPr>
  </w:style>
  <w:style w:type="character" w:styleId="char330" w:customStyle="1">
    <w:name w:val="ListLabel 65"/>
    <w:rPr>
      <w:rFonts w:eastAsia="Times New Roman" w:cs="Times New Roman"/>
    </w:rPr>
  </w:style>
  <w:style w:type="character" w:styleId="char331" w:customStyle="1">
    <w:name w:val="ListLabel 66"/>
    <w:rPr>
      <w:rFonts w:ascii="Calibri" w:hAnsi="Calibri" w:eastAsia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rFonts w:ascii="Times New Roman" w:hAnsi="Times New Roman" w:eastAsia="Times New Roman" w:cs="Times New Roman"/>
      <w:sz w:val="24"/>
    </w:rPr>
  </w:style>
  <w:style w:type="paragraph" w:styleId="para1">
    <w:name w:val="heading 1"/>
    <w:qFormat/>
    <w:basedOn w:val="para0"/>
    <w:pPr>
      <w:numPr>
        <w:ilvl w:val="0"/>
        <w:numId w:val="1"/>
      </w:numPr>
      <w:ind w:left="0" w:firstLine="0"/>
      <w:spacing w:before="240" w:after="60"/>
      <w:keepNext/>
      <w:outlineLvl w:val="0"/>
      <w:tabs>
        <w:tab w:val="left" w:pos="0" w:leader="none"/>
      </w:tabs>
    </w:pPr>
    <w:rPr>
      <w:rFonts w:ascii="Cambria" w:hAnsi="Cambria" w:cs="Cambria"/>
      <w:b/>
      <w:bCs/>
      <w:sz w:val="32"/>
      <w:szCs w:val="32"/>
    </w:rPr>
  </w:style>
  <w:style w:type="paragraph" w:styleId="para2">
    <w:name w:val="heading 3"/>
    <w:qFormat/>
    <w:basedOn w:val="para0"/>
    <w:pPr>
      <w:numPr>
        <w:ilvl w:val="2"/>
        <w:numId w:val="1"/>
      </w:numPr>
      <w:ind w:left="1572" w:hanging="720"/>
      <w:spacing/>
      <w:jc w:val="center"/>
      <w:keepNext/>
      <w:outlineLvl w:val="2"/>
      <w:tabs>
        <w:tab w:val="left" w:pos="0" w:leader="none"/>
      </w:tabs>
    </w:pPr>
    <w:rPr>
      <w:sz w:val="32"/>
    </w:rPr>
  </w:style>
  <w:style w:type="paragraph" w:styleId="para3">
    <w:name w:val="heading 4"/>
    <w:qFormat/>
    <w:basedOn w:val="para0"/>
    <w:pPr>
      <w:numPr>
        <w:ilvl w:val="3"/>
        <w:numId w:val="1"/>
      </w:numPr>
      <w:ind w:left="702" w:right="-18" w:firstLine="1"/>
      <w:keepNext/>
      <w:outlineLvl w:val="3"/>
      <w:tabs>
        <w:tab w:val="left" w:pos="0" w:leader="none"/>
      </w:tabs>
    </w:pPr>
    <w:rPr>
      <w:i/>
    </w:rPr>
  </w:style>
  <w:style w:type="paragraph" w:styleId="para4">
    <w:name w:val="heading 5"/>
    <w:qFormat/>
    <w:basedOn w:val="para0"/>
    <w:pPr>
      <w:numPr>
        <w:ilvl w:val="4"/>
        <w:numId w:val="1"/>
      </w:numPr>
      <w:ind w:left="0" w:firstLine="0"/>
      <w:spacing w:before="240" w:after="60"/>
      <w:outlineLvl w:val="4"/>
      <w:tabs>
        <w:tab w:val="left" w:pos="0" w:leader="none"/>
      </w:tabs>
    </w:pPr>
    <w:rPr>
      <w:b/>
      <w:bCs/>
      <w:i/>
      <w:iCs/>
      <w:sz w:val="26"/>
      <w:szCs w:val="26"/>
    </w:rPr>
  </w:style>
  <w:style w:type="paragraph" w:styleId="para5">
    <w:name w:val="heading 7"/>
    <w:qFormat/>
    <w:basedOn w:val="para0"/>
    <w:pPr>
      <w:numPr>
        <w:ilvl w:val="6"/>
        <w:numId w:val="1"/>
      </w:numPr>
      <w:ind w:left="0" w:firstLine="0"/>
      <w:spacing w:before="240" w:after="60"/>
      <w:outlineLvl w:val="6"/>
      <w:tabs>
        <w:tab w:val="left" w:pos="0" w:leader="none"/>
      </w:tabs>
    </w:pPr>
    <w:rPr>
      <w:szCs w:val="24"/>
    </w:rPr>
  </w:style>
  <w:style w:type="paragraph" w:styleId="para6">
    <w:name w:val="heading 8"/>
    <w:qFormat/>
    <w:basedOn w:val="para0"/>
    <w:pPr>
      <w:numPr>
        <w:ilvl w:val="7"/>
        <w:numId w:val="1"/>
      </w:numPr>
      <w:ind w:left="0" w:firstLine="0"/>
      <w:spacing/>
      <w:jc w:val="right"/>
      <w:keepNext/>
      <w:outlineLvl w:val="7"/>
      <w:tabs>
        <w:tab w:val="left" w:pos="0" w:leader="none"/>
      </w:tabs>
    </w:pPr>
    <w:rPr>
      <w:b/>
      <w:bCs/>
    </w:rPr>
  </w:style>
  <w:style w:type="paragraph" w:styleId="para7">
    <w:name w:val="heading 9"/>
    <w:qFormat/>
    <w:basedOn w:val="para0"/>
    <w:pPr>
      <w:numPr>
        <w:ilvl w:val="8"/>
        <w:numId w:val="1"/>
      </w:numPr>
      <w:ind w:left="0" w:firstLine="0"/>
      <w:spacing w:before="240" w:after="60"/>
      <w:outlineLvl w:val="8"/>
      <w:tabs>
        <w:tab w:val="left" w:pos="0" w:leader="none"/>
      </w:tabs>
    </w:pPr>
    <w:rPr>
      <w:rFonts w:ascii="Arial" w:hAnsi="Arial" w:cs="Arial"/>
      <w:sz w:val="22"/>
      <w:szCs w:val="22"/>
    </w:rPr>
  </w:style>
  <w:style w:type="paragraph" w:styleId="para8" w:customStyle="1">
    <w:name w:val="Nagłówek"/>
    <w:qFormat/>
    <w:basedOn w:val="para0"/>
    <w:next w:val="para9"/>
    <w:pPr>
      <w:spacing w:before="240" w:after="120"/>
      <w:keepNext/>
    </w:pPr>
    <w:rPr>
      <w:rFonts w:ascii="Liberation Sans" w:hAnsi="Liberation Sans" w:eastAsia="Droid Sans Fallback" w:cs="Lohit Devanagari"/>
      <w:sz w:val="28"/>
      <w:szCs w:val="28"/>
    </w:rPr>
  </w:style>
  <w:style w:type="paragraph" w:styleId="para9">
    <w:name w:val="Body Text"/>
    <w:qFormat/>
    <w:basedOn w:val="para0"/>
    <w:pPr>
      <w:widowControl w:val="0"/>
    </w:pPr>
    <w:rPr>
      <w:b/>
      <w:sz w:val="28"/>
    </w:rPr>
  </w:style>
  <w:style w:type="paragraph" w:styleId="para10">
    <w:name w:val="List"/>
    <w:qFormat/>
    <w:basedOn w:val="para0"/>
    <w:pPr>
      <w:ind w:left="283" w:hanging="283"/>
    </w:pPr>
  </w:style>
  <w:style w:type="paragraph" w:styleId="para11">
    <w:name w:val="caption"/>
    <w:qFormat/>
    <w:basedOn w:val="para0"/>
    <w:pPr>
      <w:spacing w:before="120" w:after="120"/>
      <w:suppressLineNumbers/>
    </w:pPr>
    <w:rPr>
      <w:rFonts w:cs="Lohit Devanagari"/>
      <w:i/>
      <w:iCs/>
      <w:szCs w:val="24"/>
    </w:rPr>
  </w:style>
  <w:style w:type="paragraph" w:styleId="para12" w:customStyle="1">
    <w:name w:val="Indeks"/>
    <w:qFormat/>
    <w:basedOn w:val="para0"/>
    <w:pPr>
      <w:suppressLineNumbers/>
    </w:pPr>
    <w:rPr>
      <w:rFonts w:cs="Lohit Devanagari"/>
    </w:rPr>
  </w:style>
  <w:style w:type="paragraph" w:styleId="para13" w:customStyle="1">
    <w:name w:val="Nagłówek1"/>
    <w:qFormat/>
    <w:basedOn w:val="para0"/>
    <w:pPr>
      <w:spacing w:before="240" w:after="120"/>
      <w:keepNext/>
    </w:pPr>
    <w:rPr>
      <w:rFonts w:ascii="Albany" w:hAnsi="Albany" w:eastAsia="HG Mincho Light J" w:cs="Arial"/>
      <w:sz w:val="28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Lohit Devanagari"/>
      <w:i/>
      <w:iCs/>
      <w:szCs w:val="24"/>
    </w:rPr>
  </w:style>
  <w:style w:type="paragraph" w:styleId="para15" w:customStyle="1">
    <w:name w:val="Tekst d?ugiego cytatu"/>
    <w:qFormat/>
    <w:basedOn w:val="para0"/>
    <w:pPr>
      <w:ind w:left="360" w:right="-18" w:firstLine="1"/>
      <w:spacing/>
      <w:jc w:val="both"/>
    </w:pPr>
    <w:rPr>
      <w:rFonts w:ascii="Arial" w:hAnsi="Arial" w:cs="Arial"/>
      <w:sz w:val="22"/>
    </w:rPr>
  </w:style>
  <w:style w:type="paragraph" w:styleId="para16" w:customStyle="1">
    <w:name w:val="Tekst podstawowy wci?ty 3"/>
    <w:qFormat/>
    <w:basedOn w:val="para0"/>
    <w:pPr>
      <w:ind w:left="720" w:firstLine="1"/>
      <w:spacing/>
      <w:jc w:val="both"/>
    </w:pPr>
  </w:style>
  <w:style w:type="paragraph" w:styleId="para17" w:customStyle="1">
    <w:name w:val="Tekst podstawowy wci?ty 2"/>
    <w:qFormat/>
    <w:basedOn w:val="para0"/>
    <w:pPr>
      <w:ind w:firstLine="426"/>
    </w:pPr>
  </w:style>
  <w:style w:type="paragraph" w:styleId="para18" w:customStyle="1">
    <w:name w:val="Nag?—wek 4"/>
    <w:qFormat/>
    <w:basedOn w:val="para0"/>
    <w:pPr>
      <w:spacing/>
      <w:jc w:val="center"/>
      <w:keepNext/>
    </w:pPr>
    <w:rPr>
      <w:b/>
      <w:sz w:val="28"/>
    </w:rPr>
  </w:style>
  <w:style w:type="paragraph" w:styleId="para19" w:customStyle="1">
    <w:name w:val="WW-Tekst podstawowy 3"/>
    <w:qFormat/>
    <w:basedOn w:val="para0"/>
    <w:pPr>
      <w:spacing/>
      <w:jc w:val="both"/>
    </w:pPr>
  </w:style>
  <w:style w:type="paragraph" w:styleId="para20" w:customStyle="1">
    <w:name w:val="Tekst podstawowy wci?ty"/>
    <w:qFormat/>
    <w:basedOn w:val="para0"/>
    <w:pPr>
      <w:ind w:firstLine="567"/>
    </w:pPr>
    <w:rPr>
      <w:b/>
    </w:rPr>
  </w:style>
  <w:style w:type="paragraph" w:styleId="para21" w:customStyle="1">
    <w:name w:val="WW-Tekst podstawowy wcięty 3"/>
    <w:qFormat/>
    <w:basedOn w:val="para0"/>
    <w:pPr>
      <w:ind w:left="851" w:hanging="709"/>
      <w:spacing/>
      <w:jc w:val="both"/>
    </w:pPr>
  </w:style>
  <w:style w:type="paragraph" w:styleId="para22" w:customStyle="1">
    <w:name w:val="Tekst blokowy1"/>
    <w:qFormat/>
    <w:basedOn w:val="para0"/>
    <w:pPr>
      <w:ind w:left="900" w:right="-18" w:hanging="540"/>
      <w:spacing/>
      <w:jc w:val="both"/>
    </w:pPr>
  </w:style>
  <w:style w:type="paragraph" w:styleId="para23" w:customStyle="1">
    <w:name w:val="pkt"/>
    <w:qFormat/>
    <w:basedOn w:val="para0"/>
    <w:pPr>
      <w:ind w:left="851" w:hanging="295"/>
      <w:spacing w:before="60" w:after="60"/>
      <w:jc w:val="both"/>
    </w:pPr>
  </w:style>
  <w:style w:type="paragraph" w:styleId="para24" w:customStyle="1">
    <w:name w:val="Tekst podstawowy 31"/>
    <w:qFormat/>
    <w:basedOn w:val="para0"/>
    <w:pPr>
      <w:spacing w:after="120" w:line="360" w:lineRule="auto"/>
      <w:jc w:val="both"/>
    </w:pPr>
    <w:rPr>
      <w:b/>
    </w:rPr>
  </w:style>
  <w:style w:type="paragraph" w:styleId="para25" w:customStyle="1">
    <w:name w:val="Tekst podstawowy 32"/>
    <w:qFormat/>
    <w:basedOn w:val="para0"/>
    <w:pPr>
      <w:spacing w:after="120" w:line="360" w:lineRule="auto"/>
      <w:jc w:val="both"/>
    </w:pPr>
    <w:rPr>
      <w:b/>
    </w:rPr>
  </w:style>
  <w:style w:type="paragraph" w:styleId="para26" w:customStyle="1">
    <w:name w:val="Tekst podstawowy 21"/>
    <w:qFormat/>
    <w:basedOn w:val="para0"/>
    <w:pPr>
      <w:widowControl w:val="0"/>
    </w:pPr>
    <w:rPr>
      <w:sz w:val="28"/>
    </w:rPr>
  </w:style>
  <w:style w:type="paragraph" w:styleId="para27" w:customStyle="1">
    <w:name w:val="Tekst podstawowy 22"/>
    <w:qFormat/>
    <w:basedOn w:val="para0"/>
    <w:pPr>
      <w:widowControl w:val="0"/>
    </w:pPr>
    <w:rPr>
      <w:sz w:val="28"/>
    </w:rPr>
  </w:style>
  <w:style w:type="paragraph" w:styleId="para28" w:customStyle="1">
    <w:name w:val="Normalny (Web)1"/>
    <w:qFormat/>
    <w:basedOn w:val="para0"/>
    <w:pPr>
      <w:spacing w:before="280" w:after="280"/>
      <w:jc w:val="both"/>
    </w:pPr>
    <w:rPr>
      <w:sz w:val="20"/>
    </w:rPr>
  </w:style>
  <w:style w:type="paragraph" w:styleId="para29">
    <w:name w:val="Header"/>
    <w:qFormat/>
    <w:basedOn w:val="para0"/>
  </w:style>
  <w:style w:type="paragraph" w:styleId="para30" w:customStyle="1">
    <w:name w:val="Standardowy.+"/>
    <w:qFormat/>
    <w:pPr>
      <w:suppressAutoHyphens/>
      <w:hyphenationLines w:val="0"/>
    </w:pPr>
    <w:rPr>
      <w:rFonts w:ascii="Times New Roman" w:hAnsi="Times New Roman" w:eastAsia="Times New Roman" w:cs="Times New Roman"/>
      <w:sz w:val="24"/>
    </w:rPr>
  </w:style>
  <w:style w:type="paragraph" w:styleId="para31" w:customStyle="1">
    <w:name w:val="Tekst podstawowy wcięty 21"/>
    <w:qFormat/>
    <w:basedOn w:val="para0"/>
    <w:pPr>
      <w:ind w:left="284" w:hanging="284"/>
      <w:spacing/>
      <w:jc w:val="both"/>
    </w:pPr>
  </w:style>
  <w:style w:type="paragraph" w:styleId="para32" w:customStyle="1">
    <w:name w:val="Lista numerowana1"/>
    <w:qFormat/>
    <w:basedOn w:val="para0"/>
  </w:style>
  <w:style w:type="paragraph" w:styleId="para33">
    <w:name w:val="List Bullet 3"/>
    <w:qFormat/>
    <w:basedOn w:val="para0"/>
    <w:pPr>
      <w:ind w:left="849" w:hanging="283"/>
    </w:pPr>
    <w:rPr>
      <w:szCs w:val="24"/>
      <w:lang w:val="en-us"/>
    </w:rPr>
  </w:style>
  <w:style w:type="paragraph" w:styleId="para34" w:customStyle="1">
    <w:name w:val="Standard"/>
    <w:qFormat/>
    <w:pPr>
      <w:suppressAutoHyphens/>
      <w:hyphenationLines w:val="0"/>
      <w:widowContro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para35" w:customStyle="1">
    <w:name w:val="ProPublico"/>
    <w:qFormat/>
    <w:pPr>
      <w:spacing w:line="360" w:lineRule="auto"/>
      <w:suppressAutoHyphens/>
      <w:hyphenationLines w:val="0"/>
    </w:pPr>
    <w:rPr>
      <w:rFonts w:ascii="Arial" w:hAnsi="Arial" w:eastAsia="Times New Roman" w:cs="Arial"/>
      <w:sz w:val="22"/>
    </w:rPr>
  </w:style>
  <w:style w:type="paragraph" w:styleId="para36" w:customStyle="1">
    <w:name w:val="WW-Tekst podstawowy 2"/>
    <w:qFormat/>
    <w:basedOn w:val="para34"/>
    <w:pPr>
      <w:spacing w:before="120"/>
      <w:jc w:val="both"/>
    </w:pPr>
  </w:style>
  <w:style w:type="paragraph" w:styleId="para37" w:customStyle="1">
    <w:name w:val="Obszar tekstu"/>
    <w:qFormat/>
    <w:basedOn w:val="para34"/>
    <w:rPr>
      <w:b/>
      <w:bCs/>
      <w:sz w:val="28"/>
      <w:szCs w:val="28"/>
    </w:rPr>
  </w:style>
  <w:style w:type="paragraph" w:styleId="para38" w:customStyle="1">
    <w:name w:val="Tytuł 4"/>
    <w:qFormat/>
    <w:basedOn w:val="para34"/>
    <w:next w:val="para34"/>
    <w:pPr>
      <w:ind w:left="2880" w:hanging="360"/>
      <w:spacing/>
      <w:jc w:val="right"/>
      <w:keepNext/>
    </w:pPr>
    <w:rPr>
      <w:b/>
      <w:bCs/>
      <w:sz w:val="28"/>
      <w:szCs w:val="28"/>
    </w:rPr>
  </w:style>
  <w:style w:type="paragraph" w:styleId="para39" w:customStyle="1">
    <w:name w:val="Nag?1"/>
    <w:qFormat/>
    <w:basedOn w:val="para34"/>
    <w:next w:val="para34"/>
    <w:pPr>
      <w:spacing/>
      <w:jc w:val="center"/>
      <w:keepNext/>
    </w:pPr>
    <w:rPr>
      <w:b/>
      <w:bCs/>
      <w:sz w:val="28"/>
      <w:szCs w:val="28"/>
    </w:rPr>
  </w:style>
  <w:style w:type="paragraph" w:styleId="para40" w:customStyle="1">
    <w:name w:val="Tekst podstawowy wcięty 31"/>
    <w:qFormat/>
    <w:basedOn w:val="para0"/>
    <w:pPr>
      <w:ind w:left="283"/>
      <w:spacing w:after="120"/>
    </w:pPr>
    <w:rPr>
      <w:sz w:val="16"/>
      <w:szCs w:val="16"/>
    </w:rPr>
  </w:style>
  <w:style w:type="paragraph" w:styleId="para41">
    <w:name w:val="Body Text Indent"/>
    <w:qFormat/>
    <w:basedOn w:val="para0"/>
    <w:pPr>
      <w:ind w:left="900" w:hanging="540"/>
      <w:spacing/>
      <w:jc w:val="both"/>
    </w:pPr>
    <w:rPr>
      <w:szCs w:val="24"/>
    </w:rPr>
  </w:style>
  <w:style w:type="paragraph" w:styleId="para42">
    <w:name w:val="Endnote Text"/>
    <w:qFormat/>
    <w:basedOn w:val="para0"/>
    <w:rPr>
      <w:sz w:val="20"/>
    </w:rPr>
  </w:style>
  <w:style w:type="paragraph" w:styleId="para43">
    <w:name w:val="Footer"/>
    <w:qFormat/>
    <w:basedOn w:val="para0"/>
  </w:style>
  <w:style w:type="paragraph" w:styleId="para44" w:customStyle="1">
    <w:name w:val="Tekst"/>
    <w:qFormat/>
    <w:basedOn w:val="para0"/>
    <w:rPr>
      <w:rFonts w:ascii="Arial" w:hAnsi="Arial" w:cs="Arial"/>
      <w:bCs/>
      <w:szCs w:val="24"/>
    </w:rPr>
  </w:style>
  <w:style w:type="paragraph" w:styleId="para45">
    <w:name w:val="Subtitle"/>
    <w:qFormat/>
    <w:basedOn w:val="para0"/>
    <w:pPr>
      <w:spacing/>
      <w:jc w:val="center"/>
    </w:pPr>
    <w:rPr>
      <w:b/>
      <w:color w:val="ff0000"/>
      <w:szCs w:val="24"/>
    </w:rPr>
  </w:style>
  <w:style w:type="paragraph" w:styleId="para46" w:customStyle="1">
    <w:name w:val="Tekst dymka1"/>
    <w:qFormat/>
    <w:basedOn w:val="para0"/>
    <w:rPr>
      <w:rFonts w:ascii="Tahoma" w:hAnsi="Tahoma" w:cs="Tahoma"/>
      <w:sz w:val="16"/>
      <w:szCs w:val="16"/>
    </w:rPr>
  </w:style>
  <w:style w:type="paragraph" w:styleId="para47" w:customStyle="1">
    <w:name w:val="Styl Futura Bk 10 pt Pogrubienie Podkreślenie Wyjustowany"/>
    <w:qFormat/>
    <w:basedOn w:val="para0"/>
    <w:pPr>
      <w:ind w:left="1389" w:hanging="284"/>
      <w:tabs>
        <w:tab w:val="left" w:pos="1389" w:leader="none"/>
      </w:tabs>
    </w:pPr>
    <w:rPr>
      <w:szCs w:val="24"/>
    </w:rPr>
  </w:style>
  <w:style w:type="paragraph" w:styleId="para48" w:customStyle="1">
    <w:name w:val="Tekst podstawowy 311"/>
    <w:qFormat/>
    <w:basedOn w:val="para0"/>
    <w:pPr>
      <w:spacing w:after="120"/>
    </w:pPr>
    <w:rPr>
      <w:sz w:val="16"/>
      <w:szCs w:val="16"/>
    </w:rPr>
  </w:style>
  <w:style w:type="paragraph" w:styleId="para49" w:customStyle="1">
    <w:name w:val="Tekst podstawowy 211"/>
    <w:qFormat/>
    <w:basedOn w:val="para0"/>
    <w:pPr>
      <w:spacing w:after="120" w:line="480" w:lineRule="auto"/>
    </w:pPr>
  </w:style>
  <w:style w:type="paragraph" w:styleId="para50" w:customStyle="1">
    <w:name w:val="Nag?—wek 1"/>
    <w:qFormat/>
    <w:basedOn w:val="para0"/>
    <w:pPr>
      <w:ind w:firstLine="426"/>
      <w:spacing w:line="360" w:lineRule="auto"/>
      <w:jc w:val="both"/>
      <w:keepNext/>
    </w:pPr>
  </w:style>
  <w:style w:type="paragraph" w:styleId="para51" w:customStyle="1">
    <w:name w:val="tekst"/>
    <w:qFormat/>
    <w:basedOn w:val="para0"/>
    <w:pPr>
      <w:spacing w:before="60" w:after="60"/>
      <w:jc w:val="both"/>
      <w:suppressLineNumbers/>
    </w:pPr>
  </w:style>
  <w:style w:type="paragraph" w:styleId="para52" w:customStyle="1">
    <w:name w:val="Tekst podstawowy wcięty1"/>
    <w:qFormat/>
    <w:basedOn w:val="para0"/>
    <w:pPr>
      <w:ind w:left="567" w:hanging="283"/>
      <w:spacing w:line="360" w:lineRule="atLeast"/>
      <w:jc w:val="both"/>
    </w:pPr>
    <w:rPr>
      <w:rFonts w:ascii="Arial" w:hAnsi="Arial" w:cs="Arial"/>
      <w:szCs w:val="24"/>
    </w:rPr>
  </w:style>
  <w:style w:type="paragraph" w:styleId="para53" w:customStyle="1">
    <w:name w:val="Kolorowe cieniowanie — akcent 31"/>
    <w:qFormat/>
    <w:basedOn w:val="para0"/>
    <w:pPr>
      <w:ind w:left="708"/>
    </w:pPr>
  </w:style>
  <w:style w:type="paragraph" w:styleId="para54" w:customStyle="1">
    <w:name w:val="Zawartość tabeli"/>
    <w:qFormat/>
    <w:basedOn w:val="para34"/>
    <w:pPr>
      <w:suppressLineNumbers/>
      <w:widowControl/>
    </w:pPr>
    <w:rPr>
      <w:sz w:val="20"/>
    </w:rPr>
  </w:style>
  <w:style w:type="paragraph" w:styleId="para55" w:customStyle="1">
    <w:name w:val="Nagłówek tabeli"/>
    <w:qFormat/>
    <w:basedOn w:val="para0"/>
    <w:pPr>
      <w:spacing/>
      <w:jc w:val="center"/>
      <w:suppressLineNumbers/>
    </w:pPr>
    <w:rPr>
      <w:b/>
      <w:bCs/>
    </w:rPr>
  </w:style>
  <w:style w:type="paragraph" w:styleId="para56" w:customStyle="1">
    <w:name w:val="Nag?—wek 3"/>
    <w:qFormat/>
    <w:basedOn w:val="para0"/>
    <w:pPr>
      <w:keepNext/>
    </w:pPr>
    <w:rPr>
      <w:b/>
      <w:i/>
    </w:rPr>
  </w:style>
  <w:style w:type="paragraph" w:styleId="para57" w:customStyle="1">
    <w:name w:val="Tekst podstawowy 33"/>
    <w:qFormat/>
    <w:basedOn w:val="para0"/>
    <w:pPr>
      <w:spacing w:after="120" w:line="360" w:lineRule="auto"/>
      <w:jc w:val="both"/>
    </w:pPr>
    <w:rPr>
      <w:b/>
    </w:rPr>
  </w:style>
  <w:style w:type="paragraph" w:styleId="para58" w:customStyle="1">
    <w:name w:val="Tekst podstawowy 23"/>
    <w:qFormat/>
    <w:basedOn w:val="para0"/>
    <w:pPr>
      <w:widowControl w:val="0"/>
    </w:pPr>
    <w:rPr>
      <w:sz w:val="28"/>
    </w:rPr>
  </w:style>
  <w:style w:type="paragraph" w:styleId="para59" w:customStyle="1">
    <w:name w:val="Style6"/>
    <w:qFormat/>
    <w:basedOn w:val="para0"/>
    <w:pPr>
      <w:spacing/>
      <w:jc w:val="both"/>
      <w:widowControl w:val="0"/>
    </w:pPr>
    <w:rPr>
      <w:szCs w:val="24"/>
    </w:rPr>
  </w:style>
  <w:style w:type="paragraph" w:styleId="para60" w:customStyle="1">
    <w:name w:val="Style10"/>
    <w:qFormat/>
    <w:basedOn w:val="para0"/>
    <w:pPr>
      <w:spacing/>
      <w:jc w:val="both"/>
      <w:widowControl w:val="0"/>
    </w:pPr>
    <w:rPr>
      <w:szCs w:val="24"/>
    </w:rPr>
  </w:style>
  <w:style w:type="paragraph" w:styleId="para61" w:customStyle="1">
    <w:name w:val="Tekst podstawowy wcięty2"/>
    <w:qFormat/>
    <w:basedOn w:val="para0"/>
    <w:pPr>
      <w:ind w:left="567" w:hanging="283"/>
      <w:spacing w:line="360" w:lineRule="atLeast"/>
      <w:jc w:val="both"/>
    </w:pPr>
    <w:rPr>
      <w:rFonts w:ascii="Arial" w:hAnsi="Arial" w:cs="Arial"/>
      <w:szCs w:val="24"/>
    </w:rPr>
  </w:style>
  <w:style w:type="paragraph" w:styleId="para62" w:customStyle="1">
    <w:name w:val="Tekst komentarza1"/>
    <w:qFormat/>
    <w:basedOn w:val="para0"/>
    <w:rPr>
      <w:sz w:val="20"/>
    </w:rPr>
  </w:style>
  <w:style w:type="paragraph" w:styleId="para63" w:customStyle="1">
    <w:name w:val="Temat komentarza1"/>
    <w:qFormat/>
    <w:basedOn w:val="para62"/>
    <w:rPr>
      <w:b/>
      <w:bCs/>
    </w:rPr>
  </w:style>
  <w:style w:type="paragraph" w:styleId="para64" w:customStyle="1">
    <w:name w:val="Zwykły tekst1"/>
    <w:qFormat/>
    <w:basedOn w:val="para0"/>
    <w:pPr>
      <w:widowControl w:val="0"/>
    </w:pPr>
    <w:rPr>
      <w:rFonts w:ascii="Courier New" w:hAnsi="Courier New" w:cs="Courier New"/>
      <w:sz w:val="20"/>
    </w:rPr>
  </w:style>
  <w:style w:type="paragraph" w:styleId="para65" w:customStyle="1">
    <w:name w:val="Znak Znak1 Znak"/>
    <w:qFormat/>
    <w:basedOn w:val="para0"/>
    <w:rPr>
      <w:rFonts w:ascii="Arial" w:hAnsi="Arial" w:cs="Arial"/>
      <w:szCs w:val="24"/>
    </w:rPr>
  </w:style>
  <w:style w:type="paragraph" w:styleId="para66" w:customStyle="1">
    <w:name w:val="NormalBold"/>
    <w:qFormat/>
    <w:basedOn w:val="para0"/>
    <w:pPr>
      <w:widowControl w:val="0"/>
    </w:pPr>
    <w:rPr>
      <w:b/>
      <w:szCs w:val="22"/>
    </w:rPr>
  </w:style>
  <w:style w:type="paragraph" w:styleId="para67">
    <w:name w:val="Footnote Text"/>
    <w:qFormat/>
    <w:basedOn w:val="para0"/>
    <w:pPr>
      <w:ind w:left="720" w:hanging="720"/>
      <w:spacing/>
      <w:jc w:val="both"/>
    </w:pPr>
    <w:rPr>
      <w:rFonts w:eastAsia="Calibri"/>
      <w:sz w:val="20"/>
    </w:rPr>
  </w:style>
  <w:style w:type="paragraph" w:styleId="para68" w:customStyle="1">
    <w:name w:val="Text 1"/>
    <w:qFormat/>
    <w:basedOn w:val="para0"/>
    <w:pPr>
      <w:ind w:left="850"/>
      <w:spacing w:before="120" w:after="120"/>
      <w:jc w:val="both"/>
    </w:pPr>
    <w:rPr>
      <w:rFonts w:eastAsia="Calibri"/>
      <w:szCs w:val="22"/>
    </w:rPr>
  </w:style>
  <w:style w:type="paragraph" w:styleId="para69" w:customStyle="1">
    <w:name w:val="Normal Left"/>
    <w:qFormat/>
    <w:basedOn w:val="para0"/>
    <w:pPr>
      <w:spacing w:before="120" w:after="120"/>
    </w:pPr>
    <w:rPr>
      <w:rFonts w:eastAsia="Calibri"/>
      <w:szCs w:val="22"/>
    </w:rPr>
  </w:style>
  <w:style w:type="paragraph" w:styleId="para70" w:customStyle="1">
    <w:name w:val="Tiret 0"/>
    <w:qFormat/>
    <w:basedOn w:val="para0"/>
    <w:p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1" w:customStyle="1">
    <w:name w:val="Tiret 1"/>
    <w:qFormat/>
    <w:basedOn w:val="para0"/>
    <w:pPr>
      <w:ind w:left="1417" w:hanging="567"/>
      <w:spacing w:before="120" w:after="120"/>
      <w:jc w:val="both"/>
      <w:tabs>
        <w:tab w:val="left" w:pos="1417" w:leader="none"/>
      </w:tabs>
    </w:pPr>
    <w:rPr>
      <w:rFonts w:eastAsia="Calibri"/>
      <w:szCs w:val="22"/>
    </w:rPr>
  </w:style>
  <w:style w:type="paragraph" w:styleId="para72" w:customStyle="1">
    <w:name w:val="NumPar 1"/>
    <w:qFormat/>
    <w:basedOn w:val="para0"/>
    <w:p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3" w:customStyle="1">
    <w:name w:val="NumPar 2"/>
    <w:qFormat/>
    <w:basedOn w:val="para0"/>
    <w:p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4" w:customStyle="1">
    <w:name w:val="NumPar 3"/>
    <w:qFormat/>
    <w:basedOn w:val="para0"/>
    <w:p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5" w:customStyle="1">
    <w:name w:val="NumPar 4"/>
    <w:qFormat/>
    <w:basedOn w:val="para0"/>
    <w:pPr>
      <w:ind w:left="850" w:hanging="850"/>
      <w:spacing w:before="120" w:after="120"/>
      <w:jc w:val="both"/>
      <w:tabs>
        <w:tab w:val="left" w:pos="850" w:leader="none"/>
      </w:tabs>
    </w:pPr>
    <w:rPr>
      <w:rFonts w:eastAsia="Calibri"/>
      <w:szCs w:val="22"/>
    </w:rPr>
  </w:style>
  <w:style w:type="paragraph" w:styleId="para76" w:customStyle="1">
    <w:name w:val="ChapterTitle"/>
    <w:qFormat/>
    <w:basedOn w:val="para0"/>
    <w:pPr>
      <w:spacing w:before="120" w:after="360"/>
      <w:jc w:val="center"/>
      <w:keepNext/>
    </w:pPr>
    <w:rPr>
      <w:rFonts w:eastAsia="Calibri"/>
      <w:b/>
      <w:sz w:val="32"/>
      <w:szCs w:val="22"/>
    </w:rPr>
  </w:style>
  <w:style w:type="paragraph" w:styleId="para77" w:customStyle="1">
    <w:name w:val="SectionTitle"/>
    <w:qFormat/>
    <w:basedOn w:val="para0"/>
    <w:pPr>
      <w:spacing w:before="120" w:after="360"/>
      <w:jc w:val="center"/>
      <w:keepNext/>
    </w:pPr>
    <w:rPr>
      <w:rFonts w:eastAsia="Calibri"/>
      <w:b/>
      <w:smallCaps/>
      <w:sz w:val="28"/>
      <w:szCs w:val="22"/>
    </w:rPr>
  </w:style>
  <w:style w:type="paragraph" w:styleId="para78" w:customStyle="1">
    <w:name w:val="Annexe titre"/>
    <w:qFormat/>
    <w:basedOn w:val="para0"/>
    <w:pPr>
      <w:spacing w:before="120" w:after="120"/>
      <w:jc w:val="center"/>
    </w:pPr>
    <w:rPr>
      <w:rFonts w:eastAsia="Calibri"/>
      <w:b/>
      <w:szCs w:val="22"/>
      <w:u w:color="auto" w:val="single"/>
    </w:rPr>
  </w:style>
  <w:style w:type="paragraph" w:styleId="para79" w:customStyle="1">
    <w:name w:val="Jasna siatka — akcent 31"/>
    <w:qFormat/>
    <w:basedOn w:val="para0"/>
    <w:pPr>
      <w:ind w:left="708"/>
    </w:pPr>
  </w:style>
  <w:style w:type="paragraph" w:styleId="para80" w:customStyle="1">
    <w:name w:val="Średnia siatka 1 — akcent 21"/>
    <w:qFormat/>
    <w:basedOn w:val="para0"/>
    <w:pPr>
      <w:ind w:left="708"/>
    </w:pPr>
  </w:style>
  <w:style w:type="paragraph" w:styleId="para81" w:customStyle="1">
    <w:name w:val="Body Text Indent 2*"/>
    <w:qFormat/>
    <w:basedOn w:val="para0"/>
    <w:pPr>
      <w:ind w:left="284" w:hanging="284"/>
      <w:spacing/>
      <w:jc w:val="both"/>
    </w:pPr>
  </w:style>
  <w:style w:type="paragraph" w:styleId="para82" w:customStyle="1">
    <w:name w:val="Style4"/>
    <w:qFormat/>
    <w:basedOn w:val="para0"/>
    <w:pPr>
      <w:widowControl w:val="0"/>
    </w:pPr>
    <w:rPr>
      <w:szCs w:val="24"/>
    </w:rPr>
  </w:style>
  <w:style w:type="paragraph" w:styleId="para83" w:customStyle="1">
    <w:name w:val="Style11"/>
    <w:qFormat/>
    <w:basedOn w:val="para0"/>
    <w:pPr>
      <w:ind w:hanging="130"/>
      <w:spacing w:line="275" w:lineRule="exact"/>
      <w:jc w:val="both"/>
      <w:widowControl w:val="0"/>
    </w:pPr>
    <w:rPr>
      <w:szCs w:val="24"/>
    </w:rPr>
  </w:style>
  <w:style w:type="paragraph" w:styleId="para84" w:customStyle="1">
    <w:name w:val="Style14"/>
    <w:qFormat/>
    <w:basedOn w:val="para0"/>
    <w:pPr>
      <w:ind w:hanging="274"/>
      <w:spacing w:line="274" w:lineRule="exact"/>
      <w:widowControl w:val="0"/>
    </w:pPr>
    <w:rPr>
      <w:szCs w:val="24"/>
    </w:rPr>
  </w:style>
  <w:style w:type="paragraph" w:styleId="para85" w:customStyle="1">
    <w:name w:val="Style19"/>
    <w:qFormat/>
    <w:basedOn w:val="para0"/>
    <w:pPr>
      <w:ind w:hanging="278"/>
      <w:spacing w:line="275" w:lineRule="exact"/>
      <w:jc w:val="both"/>
      <w:widowControl w:val="0"/>
    </w:pPr>
    <w:rPr>
      <w:szCs w:val="24"/>
    </w:rPr>
  </w:style>
  <w:style w:type="paragraph" w:styleId="para86" w:customStyle="1">
    <w:name w:val="Style5"/>
    <w:qFormat/>
    <w:basedOn w:val="para0"/>
    <w:pPr>
      <w:spacing w:line="413" w:lineRule="exact"/>
      <w:jc w:val="both"/>
      <w:widowControl w:val="0"/>
    </w:pPr>
    <w:rPr>
      <w:szCs w:val="24"/>
    </w:rPr>
  </w:style>
  <w:style w:type="paragraph" w:styleId="para87" w:customStyle="1">
    <w:name w:val="Body Text Indent*"/>
    <w:qFormat/>
    <w:basedOn w:val="para0"/>
    <w:pPr>
      <w:ind w:left="567" w:hanging="283"/>
      <w:spacing w:line="360" w:lineRule="atLeast"/>
      <w:jc w:val="both"/>
    </w:pPr>
    <w:rPr>
      <w:rFonts w:ascii="Arial" w:hAnsi="Arial" w:cs="Arial"/>
      <w:szCs w:val="24"/>
    </w:rPr>
  </w:style>
  <w:style w:type="paragraph" w:styleId="para88">
    <w:name w:val="List Paragraph"/>
    <w:qFormat/>
    <w:basedOn w:val="para0"/>
    <w:pPr>
      <w:ind w:left="720"/>
      <w:contextualSpacing/>
    </w:pPr>
  </w:style>
  <w:style w:type="paragraph" w:styleId="para89" w:customStyle="1">
    <w:name w:val="Bez odstępów1"/>
    <w:qFormat/>
    <w:pPr>
      <w:suppressAutoHyphens/>
      <w:hyphenationLines w:val="0"/>
    </w:pPr>
    <w:rPr>
      <w:rFonts w:ascii="Times New Roman" w:hAnsi="Times New Roman" w:eastAsia="Times New Roman" w:cs="Times New Roman"/>
      <w:sz w:val="24"/>
    </w:rPr>
  </w:style>
  <w:style w:type="paragraph" w:styleId="para90" w:customStyle="1">
    <w:name w:val="Kolorowa lista — akcent 11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</w:rPr>
  </w:style>
  <w:style w:type="paragraph" w:styleId="para91" w:customStyle="1">
    <w:name w:val="Akapit z listą1"/>
    <w:qFormat/>
    <w:basedOn w:val="para0"/>
    <w:pPr>
      <w:ind w:left="708"/>
    </w:pPr>
  </w:style>
  <w:style w:type="paragraph" w:styleId="para92" w:customStyle="1">
    <w:name w:val="Default"/>
    <w:qFormat/>
    <w:pPr>
      <w:suppressAutoHyphens/>
      <w:hyphenationLines w:val="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para93" w:customStyle="1">
    <w:name w:val="Text body"/>
    <w:qFormat/>
    <w:basedOn w:val="para34"/>
    <w:pPr>
      <w:spacing w:after="120"/>
      <w:widowControl/>
    </w:pPr>
    <w:rPr>
      <w:sz w:val="20"/>
    </w:rPr>
  </w:style>
  <w:style w:type="paragraph" w:styleId="para94" w:customStyle="1">
    <w:name w:val="Tabela - Lista"/>
    <w:qFormat/>
    <w:basedOn w:val="para0"/>
    <w:pPr>
      <w:ind w:left="397" w:hanging="170"/>
      <w:contextualSpacing/>
      <w:tabs>
        <w:tab w:val="left" w:pos="0" w:leader="none"/>
        <w:tab w:val="left" w:pos="1417" w:leader="none"/>
      </w:tabs>
    </w:pPr>
    <w:rPr>
      <w:rFonts w:ascii="Calibri" w:hAnsi="Calibri" w:cs="Calibri"/>
      <w:sz w:val="20"/>
    </w:rPr>
  </w:style>
  <w:style w:type="paragraph" w:styleId="para95" w:customStyle="1">
    <w:name w:val="H-TextFormat"/>
    <w:qFormat/>
    <w:pPr>
      <w:suppressAutoHyphens/>
      <w:hyphenationLines w:val="0"/>
      <w:widowControl w:val="0"/>
    </w:pPr>
    <w:rPr>
      <w:rFonts w:ascii="Arial" w:hAnsi="Arial" w:eastAsia="Times New Roman" w:cs="Arial"/>
      <w:color w:val="000000"/>
      <w:sz w:val="22"/>
      <w:szCs w:val="22"/>
      <w:lang w:val="en-us"/>
    </w:rPr>
  </w:style>
  <w:style w:type="paragraph" w:styleId="para96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3z0"/>
    <w:rPr>
      <w:rFonts w:ascii="Symbol" w:hAnsi="Symbol" w:cs="Symbol"/>
      <w:szCs w:val="24"/>
    </w:rPr>
  </w:style>
  <w:style w:type="character" w:styleId="char12" w:customStyle="1">
    <w:name w:val="WW8Num4z0"/>
  </w:style>
  <w:style w:type="character" w:styleId="char13" w:customStyle="1">
    <w:name w:val="WW8Num4z1"/>
    <w:rPr>
      <w:rFonts w:ascii="Times New Roman" w:hAnsi="Times New Roman" w:cs="Times New Roman"/>
      <w:i w:val="0"/>
      <w:sz w:val="24"/>
      <w:szCs w:val="24"/>
    </w:rPr>
  </w:style>
  <w:style w:type="character" w:styleId="char14" w:customStyle="1">
    <w:name w:val="WW8Num5z0"/>
    <w:rPr>
      <w:b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styleId="char15" w:customStyle="1">
    <w:name w:val="WW8Num6z0"/>
    <w:rPr>
      <w:rFonts w:ascii="Times New Roman" w:hAnsi="Times New Roman" w:cs="Times New Roman"/>
    </w:rPr>
  </w:style>
  <w:style w:type="character" w:styleId="char16" w:customStyle="1">
    <w:name w:val="WW8Num7z0"/>
    <w:rPr>
      <w:rFonts w:ascii="Liberation Serif" w:hAnsi="Liberation Serif" w:cs="Liberation Serif"/>
    </w:rPr>
  </w:style>
  <w:style w:type="character" w:styleId="char17" w:customStyle="1">
    <w:name w:val="WW8Num8z0"/>
  </w:style>
  <w:style w:type="character" w:styleId="char18" w:customStyle="1">
    <w:name w:val="WW8Num9z0"/>
    <w:rPr>
      <w:rFonts w:ascii="Symbol" w:hAnsi="Symbol" w:cs="Symbol"/>
    </w:rPr>
  </w:style>
  <w:style w:type="character" w:styleId="char19" w:customStyle="1">
    <w:name w:val="WW8Num10z0"/>
    <w:rPr>
      <w:rFonts w:ascii="Symbol" w:hAnsi="Symbol" w:cs="Symbol"/>
      <w:color w:val="000000"/>
      <w:spacing w:val="0"/>
      <w:sz w:val="24"/>
      <w:szCs w:val="24"/>
    </w:rPr>
  </w:style>
  <w:style w:type="character" w:styleId="char20" w:customStyle="1">
    <w:name w:val="WW8Num11z0"/>
    <w:rPr>
      <w:rFonts w:ascii="Liberation Serif" w:hAnsi="Liberation Serif" w:cs="Liberation Serif"/>
    </w:rPr>
  </w:style>
  <w:style w:type="character" w:styleId="char21" w:customStyle="1">
    <w:name w:val="WW8Num12z0"/>
    <w:rPr>
      <w:rFonts w:ascii="Symbol" w:hAnsi="Symbol" w:cs="Symbol"/>
    </w:rPr>
  </w:style>
  <w:style w:type="character" w:styleId="char22" w:customStyle="1">
    <w:name w:val="WW8Num13z0"/>
    <w:rPr>
      <w:rFonts w:cs="Times New Roman"/>
    </w:rPr>
  </w:style>
  <w:style w:type="character" w:styleId="char23" w:customStyle="1">
    <w:name w:val="WW8Num14z0"/>
  </w:style>
  <w:style w:type="character" w:styleId="char24" w:customStyle="1">
    <w:name w:val="WW8Num14z1"/>
  </w:style>
  <w:style w:type="character" w:styleId="char25" w:customStyle="1">
    <w:name w:val="WW8Num14z2"/>
  </w:style>
  <w:style w:type="character" w:styleId="char26" w:customStyle="1">
    <w:name w:val="WW8Num14z3"/>
  </w:style>
  <w:style w:type="character" w:styleId="char27" w:customStyle="1">
    <w:name w:val="WW8Num14z4"/>
  </w:style>
  <w:style w:type="character" w:styleId="char28" w:customStyle="1">
    <w:name w:val="WW8Num14z5"/>
  </w:style>
  <w:style w:type="character" w:styleId="char29" w:customStyle="1">
    <w:name w:val="WW8Num14z6"/>
  </w:style>
  <w:style w:type="character" w:styleId="char30" w:customStyle="1">
    <w:name w:val="WW8Num14z7"/>
  </w:style>
  <w:style w:type="character" w:styleId="char31" w:customStyle="1">
    <w:name w:val="WW8Num14z8"/>
  </w:style>
  <w:style w:type="character" w:styleId="char32" w:customStyle="1">
    <w:name w:val="WW8Num15z0"/>
    <w:rPr>
      <w:rFonts w:ascii="Symbol" w:hAnsi="Symbol" w:cs="OpenSymbol"/>
      <w:szCs w:val="24"/>
    </w:rPr>
  </w:style>
  <w:style w:type="character" w:styleId="char33" w:customStyle="1">
    <w:name w:val="WW8Num15z1"/>
    <w:rPr>
      <w:rFonts w:ascii="OpenSymbol" w:hAnsi="OpenSymbol" w:cs="OpenSymbol"/>
    </w:rPr>
  </w:style>
  <w:style w:type="character" w:styleId="char34" w:customStyle="1">
    <w:name w:val="WW8Num2z1"/>
    <w:rPr>
      <w:rFonts w:ascii="Times New Roman" w:hAnsi="Times New Roman" w:eastAsia="Calibri" w:cs="Times New Roman"/>
    </w:rPr>
  </w:style>
  <w:style w:type="character" w:styleId="char35" w:customStyle="1">
    <w:name w:val="WW8Num2z2"/>
    <w:rPr>
      <w:rFonts w:ascii="Symbol" w:hAnsi="Symbol" w:cs="OpenSymbol"/>
    </w:rPr>
  </w:style>
  <w:style w:type="character" w:styleId="char36" w:customStyle="1">
    <w:name w:val="WW8Num3z1"/>
  </w:style>
  <w:style w:type="character" w:styleId="char37" w:customStyle="1">
    <w:name w:val="WW8Num3z2"/>
  </w:style>
  <w:style w:type="character" w:styleId="char38" w:customStyle="1">
    <w:name w:val="WW8Num3z3"/>
  </w:style>
  <w:style w:type="character" w:styleId="char39" w:customStyle="1">
    <w:name w:val="WW8Num3z4"/>
  </w:style>
  <w:style w:type="character" w:styleId="char40" w:customStyle="1">
    <w:name w:val="WW8Num3z5"/>
  </w:style>
  <w:style w:type="character" w:styleId="char41" w:customStyle="1">
    <w:name w:val="WW8Num3z6"/>
  </w:style>
  <w:style w:type="character" w:styleId="char42" w:customStyle="1">
    <w:name w:val="WW8Num3z7"/>
  </w:style>
  <w:style w:type="character" w:styleId="char43" w:customStyle="1">
    <w:name w:val="WW8Num3z8"/>
  </w:style>
  <w:style w:type="character" w:styleId="char44" w:customStyle="1">
    <w:name w:val="WW8Num4z2"/>
  </w:style>
  <w:style w:type="character" w:styleId="char45" w:customStyle="1">
    <w:name w:val="WW8Num4z3"/>
  </w:style>
  <w:style w:type="character" w:styleId="char46" w:customStyle="1">
    <w:name w:val="WW8Num4z4"/>
  </w:style>
  <w:style w:type="character" w:styleId="char47" w:customStyle="1">
    <w:name w:val="WW8Num4z5"/>
  </w:style>
  <w:style w:type="character" w:styleId="char48" w:customStyle="1">
    <w:name w:val="WW8Num4z6"/>
  </w:style>
  <w:style w:type="character" w:styleId="char49" w:customStyle="1">
    <w:name w:val="WW8Num4z7"/>
  </w:style>
  <w:style w:type="character" w:styleId="char50" w:customStyle="1">
    <w:name w:val="WW8Num4z8"/>
  </w:style>
  <w:style w:type="character" w:styleId="char51" w:customStyle="1">
    <w:name w:val="WW8Num5z1"/>
  </w:style>
  <w:style w:type="character" w:styleId="char52" w:customStyle="1">
    <w:name w:val="WW8Num5z2"/>
    <w:rPr>
      <w:rFonts w:ascii="Times New Roman" w:hAnsi="Times New Roman" w:eastAsia="Times New Roman" w:cs="Times New Roman"/>
      <w:b w:val="0"/>
    </w:rPr>
  </w:style>
  <w:style w:type="character" w:styleId="char53" w:customStyle="1">
    <w:name w:val="WW8Num5z3"/>
  </w:style>
  <w:style w:type="character" w:styleId="char54" w:customStyle="1">
    <w:name w:val="WW8Num5z4"/>
  </w:style>
  <w:style w:type="character" w:styleId="char55" w:customStyle="1">
    <w:name w:val="WW8Num5z5"/>
  </w:style>
  <w:style w:type="character" w:styleId="char56" w:customStyle="1">
    <w:name w:val="WW8Num5z6"/>
  </w:style>
  <w:style w:type="character" w:styleId="char57" w:customStyle="1">
    <w:name w:val="WW8Num5z7"/>
  </w:style>
  <w:style w:type="character" w:styleId="char58" w:customStyle="1">
    <w:name w:val="WW8Num5z8"/>
  </w:style>
  <w:style w:type="character" w:styleId="char59" w:customStyle="1">
    <w:name w:val="WW8Num6z1"/>
  </w:style>
  <w:style w:type="character" w:styleId="char60" w:customStyle="1">
    <w:name w:val="WW8Num6z2"/>
  </w:style>
  <w:style w:type="character" w:styleId="char61" w:customStyle="1">
    <w:name w:val="WW8Num6z3"/>
  </w:style>
  <w:style w:type="character" w:styleId="char62" w:customStyle="1">
    <w:name w:val="WW8Num6z4"/>
  </w:style>
  <w:style w:type="character" w:styleId="char63" w:customStyle="1">
    <w:name w:val="WW8Num6z5"/>
  </w:style>
  <w:style w:type="character" w:styleId="char64" w:customStyle="1">
    <w:name w:val="WW8Num6z6"/>
  </w:style>
  <w:style w:type="character" w:styleId="char65" w:customStyle="1">
    <w:name w:val="WW8Num6z7"/>
  </w:style>
  <w:style w:type="character" w:styleId="char66" w:customStyle="1">
    <w:name w:val="WW8Num6z8"/>
  </w:style>
  <w:style w:type="character" w:styleId="char67" w:customStyle="1">
    <w:name w:val="WW8Num10z1"/>
  </w:style>
  <w:style w:type="character" w:styleId="char68" w:customStyle="1">
    <w:name w:val="WW8Num10z2"/>
  </w:style>
  <w:style w:type="character" w:styleId="char69" w:customStyle="1">
    <w:name w:val="WW8Num10z3"/>
  </w:style>
  <w:style w:type="character" w:styleId="char70" w:customStyle="1">
    <w:name w:val="WW8Num10z4"/>
  </w:style>
  <w:style w:type="character" w:styleId="char71" w:customStyle="1">
    <w:name w:val="WW8Num10z5"/>
  </w:style>
  <w:style w:type="character" w:styleId="char72" w:customStyle="1">
    <w:name w:val="WW8Num10z6"/>
  </w:style>
  <w:style w:type="character" w:styleId="char73" w:customStyle="1">
    <w:name w:val="WW8Num10z7"/>
  </w:style>
  <w:style w:type="character" w:styleId="char74" w:customStyle="1">
    <w:name w:val="WW8Num10z8"/>
  </w:style>
  <w:style w:type="character" w:styleId="char75" w:customStyle="1">
    <w:name w:val="WW8Num16z0"/>
  </w:style>
  <w:style w:type="character" w:styleId="char76" w:customStyle="1">
    <w:name w:val="WW8Num16z1"/>
    <w:rPr>
      <w:b w:val="0"/>
    </w:rPr>
  </w:style>
  <w:style w:type="character" w:styleId="char77" w:customStyle="1">
    <w:name w:val="WW8Num17z0"/>
  </w:style>
  <w:style w:type="character" w:styleId="char78" w:customStyle="1">
    <w:name w:val="WW8Num17z1"/>
  </w:style>
  <w:style w:type="character" w:styleId="char79" w:customStyle="1">
    <w:name w:val="WW8Num17z2"/>
  </w:style>
  <w:style w:type="character" w:styleId="char80" w:customStyle="1">
    <w:name w:val="WW8Num17z3"/>
  </w:style>
  <w:style w:type="character" w:styleId="char81" w:customStyle="1">
    <w:name w:val="WW8Num17z4"/>
  </w:style>
  <w:style w:type="character" w:styleId="char82" w:customStyle="1">
    <w:name w:val="WW8Num17z5"/>
  </w:style>
  <w:style w:type="character" w:styleId="char83" w:customStyle="1">
    <w:name w:val="WW8Num17z6"/>
  </w:style>
  <w:style w:type="character" w:styleId="char84" w:customStyle="1">
    <w:name w:val="WW8Num17z7"/>
  </w:style>
  <w:style w:type="character" w:styleId="char85" w:customStyle="1">
    <w:name w:val="WW8Num17z8"/>
  </w:style>
  <w:style w:type="character" w:styleId="char86" w:customStyle="1">
    <w:name w:val="WW8Num18z0"/>
    <w:rPr>
      <w:rFonts w:ascii="Symbol" w:hAnsi="Symbol" w:cs="Symbol"/>
    </w:rPr>
  </w:style>
  <w:style w:type="character" w:styleId="char87" w:customStyle="1">
    <w:name w:val="WW8Num18z1"/>
    <w:rPr>
      <w:rFonts w:ascii="Courier New" w:hAnsi="Courier New" w:cs="Courier New"/>
    </w:rPr>
  </w:style>
  <w:style w:type="character" w:styleId="char88" w:customStyle="1">
    <w:name w:val="WW8Num18z2"/>
    <w:rPr>
      <w:rFonts w:ascii="Wingdings" w:hAnsi="Wingdings" w:cs="Wingdings"/>
    </w:rPr>
  </w:style>
  <w:style w:type="character" w:styleId="char89" w:customStyle="1">
    <w:name w:val="WW8Num19z0"/>
  </w:style>
  <w:style w:type="character" w:styleId="char90" w:customStyle="1">
    <w:name w:val="WW8Num19z2"/>
  </w:style>
  <w:style w:type="character" w:styleId="char91" w:customStyle="1">
    <w:name w:val="WW8Num19z3"/>
  </w:style>
  <w:style w:type="character" w:styleId="char92" w:customStyle="1">
    <w:name w:val="WW8Num19z4"/>
  </w:style>
  <w:style w:type="character" w:styleId="char93" w:customStyle="1">
    <w:name w:val="WW8Num19z5"/>
  </w:style>
  <w:style w:type="character" w:styleId="char94" w:customStyle="1">
    <w:name w:val="WW8Num19z6"/>
  </w:style>
  <w:style w:type="character" w:styleId="char95" w:customStyle="1">
    <w:name w:val="WW8Num19z7"/>
  </w:style>
  <w:style w:type="character" w:styleId="char96" w:customStyle="1">
    <w:name w:val="WW8Num19z8"/>
  </w:style>
  <w:style w:type="character" w:styleId="char97" w:customStyle="1">
    <w:name w:val="WW8Num20z0"/>
    <w:rPr>
      <w:b w:val="0"/>
    </w:rPr>
  </w:style>
  <w:style w:type="character" w:styleId="char98" w:customStyle="1">
    <w:name w:val="WW8Num20z1"/>
  </w:style>
  <w:style w:type="character" w:styleId="char99" w:customStyle="1">
    <w:name w:val="WW8Num20z2"/>
    <w:rPr>
      <w:rFonts w:ascii="Times New Roman" w:hAnsi="Times New Roman" w:eastAsia="Times New Roman" w:cs="Times New Roman"/>
      <w:b w:val="0"/>
    </w:rPr>
  </w:style>
  <w:style w:type="character" w:styleId="char100" w:customStyle="1">
    <w:name w:val="WW8Num21z0"/>
  </w:style>
  <w:style w:type="character" w:styleId="char101" w:customStyle="1">
    <w:name w:val="WW8Num21z1"/>
  </w:style>
  <w:style w:type="character" w:styleId="char102" w:customStyle="1">
    <w:name w:val="WW8Num21z2"/>
  </w:style>
  <w:style w:type="character" w:styleId="char103" w:customStyle="1">
    <w:name w:val="WW8Num21z3"/>
  </w:style>
  <w:style w:type="character" w:styleId="char104" w:customStyle="1">
    <w:name w:val="WW8Num21z4"/>
  </w:style>
  <w:style w:type="character" w:styleId="char105" w:customStyle="1">
    <w:name w:val="WW8Num21z5"/>
  </w:style>
  <w:style w:type="character" w:styleId="char106" w:customStyle="1">
    <w:name w:val="WW8Num21z6"/>
  </w:style>
  <w:style w:type="character" w:styleId="char107" w:customStyle="1">
    <w:name w:val="WW8Num21z7"/>
  </w:style>
  <w:style w:type="character" w:styleId="char108" w:customStyle="1">
    <w:name w:val="WW8Num21z8"/>
  </w:style>
  <w:style w:type="character" w:styleId="char109" w:customStyle="1">
    <w:name w:val="WW8Num22z0"/>
  </w:style>
  <w:style w:type="character" w:styleId="char110" w:customStyle="1">
    <w:name w:val="WW8Num22z1"/>
  </w:style>
  <w:style w:type="character" w:styleId="char111" w:customStyle="1">
    <w:name w:val="WW8Num22z2"/>
  </w:style>
  <w:style w:type="character" w:styleId="char112" w:customStyle="1">
    <w:name w:val="WW8Num22z3"/>
  </w:style>
  <w:style w:type="character" w:styleId="char113" w:customStyle="1">
    <w:name w:val="WW8Num22z4"/>
  </w:style>
  <w:style w:type="character" w:styleId="char114" w:customStyle="1">
    <w:name w:val="WW8Num22z5"/>
  </w:style>
  <w:style w:type="character" w:styleId="char115" w:customStyle="1">
    <w:name w:val="WW8Num22z6"/>
  </w:style>
  <w:style w:type="character" w:styleId="char116" w:customStyle="1">
    <w:name w:val="WW8Num22z7"/>
  </w:style>
  <w:style w:type="character" w:styleId="char117" w:customStyle="1">
    <w:name w:val="WW8Num22z8"/>
  </w:style>
  <w:style w:type="character" w:styleId="char118" w:customStyle="1">
    <w:name w:val="WW8Num23z0"/>
  </w:style>
  <w:style w:type="character" w:styleId="char119" w:customStyle="1">
    <w:name w:val="WW8Num23z1"/>
    <w:rPr>
      <w:rFonts w:ascii="Times New Roman" w:hAnsi="Times New Roman" w:cs="Times New Roman"/>
      <w:i w:val="0"/>
      <w:sz w:val="24"/>
      <w:szCs w:val="24"/>
    </w:rPr>
  </w:style>
  <w:style w:type="character" w:styleId="char120" w:customStyle="1">
    <w:name w:val="WW8Num24z0"/>
  </w:style>
  <w:style w:type="character" w:styleId="char121" w:customStyle="1">
    <w:name w:val="WW8Num24z1"/>
  </w:style>
  <w:style w:type="character" w:styleId="char122" w:customStyle="1">
    <w:name w:val="WW8Num24z2"/>
  </w:style>
  <w:style w:type="character" w:styleId="char123" w:customStyle="1">
    <w:name w:val="WW8Num24z3"/>
  </w:style>
  <w:style w:type="character" w:styleId="char124" w:customStyle="1">
    <w:name w:val="WW8Num24z4"/>
  </w:style>
  <w:style w:type="character" w:styleId="char125" w:customStyle="1">
    <w:name w:val="WW8Num24z5"/>
  </w:style>
  <w:style w:type="character" w:styleId="char126" w:customStyle="1">
    <w:name w:val="WW8Num24z6"/>
  </w:style>
  <w:style w:type="character" w:styleId="char127" w:customStyle="1">
    <w:name w:val="WW8Num24z7"/>
  </w:style>
  <w:style w:type="character" w:styleId="char128" w:customStyle="1">
    <w:name w:val="WW8Num24z8"/>
  </w:style>
  <w:style w:type="character" w:styleId="char129" w:customStyle="1">
    <w:name w:val="WW8Num25z0"/>
    <w:rPr>
      <w:b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styleId="char130" w:customStyle="1">
    <w:name w:val="WW8Num25z1"/>
  </w:style>
  <w:style w:type="character" w:styleId="char131" w:customStyle="1">
    <w:name w:val="WW8Num25z2"/>
  </w:style>
  <w:style w:type="character" w:styleId="char132" w:customStyle="1">
    <w:name w:val="WW8Num25z3"/>
  </w:style>
  <w:style w:type="character" w:styleId="char133" w:customStyle="1">
    <w:name w:val="WW8Num25z4"/>
  </w:style>
  <w:style w:type="character" w:styleId="char134" w:customStyle="1">
    <w:name w:val="WW8Num25z5"/>
  </w:style>
  <w:style w:type="character" w:styleId="char135" w:customStyle="1">
    <w:name w:val="WW8Num25z6"/>
  </w:style>
  <w:style w:type="character" w:styleId="char136" w:customStyle="1">
    <w:name w:val="WW8Num25z7"/>
  </w:style>
  <w:style w:type="character" w:styleId="char137" w:customStyle="1">
    <w:name w:val="WW8Num25z8"/>
  </w:style>
  <w:style w:type="character" w:styleId="char138" w:customStyle="1">
    <w:name w:val="WW8Num26z0"/>
    <w:rPr>
      <w:b w:val="0"/>
    </w:rPr>
  </w:style>
  <w:style w:type="character" w:styleId="char139" w:customStyle="1">
    <w:name w:val="WW8Num26z1"/>
  </w:style>
  <w:style w:type="character" w:styleId="char140" w:customStyle="1">
    <w:name w:val="WW8Num26z2"/>
    <w:rPr>
      <w:rFonts w:ascii="Times New Roman" w:hAnsi="Times New Roman" w:eastAsia="Times New Roman" w:cs="Times New Roman"/>
      <w:b w:val="0"/>
    </w:rPr>
  </w:style>
  <w:style w:type="character" w:styleId="char141" w:customStyle="1">
    <w:name w:val="WW8Num27z0"/>
    <w:rPr>
      <w:b w:val="0"/>
    </w:rPr>
  </w:style>
  <w:style w:type="character" w:styleId="char142" w:customStyle="1">
    <w:name w:val="WW8Num27z1"/>
  </w:style>
  <w:style w:type="character" w:styleId="char143" w:customStyle="1">
    <w:name w:val="WW8Num27z2"/>
  </w:style>
  <w:style w:type="character" w:styleId="char144" w:customStyle="1">
    <w:name w:val="WW8Num27z3"/>
  </w:style>
  <w:style w:type="character" w:styleId="char145" w:customStyle="1">
    <w:name w:val="WW8Num27z4"/>
  </w:style>
  <w:style w:type="character" w:styleId="char146" w:customStyle="1">
    <w:name w:val="WW8Num27z5"/>
  </w:style>
  <w:style w:type="character" w:styleId="char147" w:customStyle="1">
    <w:name w:val="WW8Num27z6"/>
  </w:style>
  <w:style w:type="character" w:styleId="char148" w:customStyle="1">
    <w:name w:val="WW8Num27z7"/>
  </w:style>
  <w:style w:type="character" w:styleId="char149" w:customStyle="1">
    <w:name w:val="WW8Num27z8"/>
  </w:style>
  <w:style w:type="character" w:styleId="char150" w:customStyle="1">
    <w:name w:val="WW8Num28z0"/>
  </w:style>
  <w:style w:type="character" w:styleId="char151" w:customStyle="1">
    <w:name w:val="WW8Num29z0"/>
    <w:rPr>
      <w:b w:val="0"/>
    </w:rPr>
  </w:style>
  <w:style w:type="character" w:styleId="char152" w:customStyle="1">
    <w:name w:val="WW8Num29z1"/>
  </w:style>
  <w:style w:type="character" w:styleId="char153" w:customStyle="1">
    <w:name w:val="WW8Num29z2"/>
  </w:style>
  <w:style w:type="character" w:styleId="char154" w:customStyle="1">
    <w:name w:val="WW8Num29z3"/>
  </w:style>
  <w:style w:type="character" w:styleId="char155" w:customStyle="1">
    <w:name w:val="WW8Num29z4"/>
  </w:style>
  <w:style w:type="character" w:styleId="char156" w:customStyle="1">
    <w:name w:val="WW8Num29z5"/>
  </w:style>
  <w:style w:type="character" w:styleId="char157" w:customStyle="1">
    <w:name w:val="WW8Num29z6"/>
  </w:style>
  <w:style w:type="character" w:styleId="char158" w:customStyle="1">
    <w:name w:val="WW8Num29z7"/>
  </w:style>
  <w:style w:type="character" w:styleId="char159" w:customStyle="1">
    <w:name w:val="WW8Num29z8"/>
  </w:style>
  <w:style w:type="character" w:styleId="char160" w:customStyle="1">
    <w:name w:val="WW8Num30z0"/>
    <w:rPr>
      <w:rFonts w:ascii="Times New Roman" w:hAnsi="Times New Roman" w:eastAsia="Times New Roman" w:cs="Times New Roman"/>
    </w:rPr>
  </w:style>
  <w:style w:type="character" w:styleId="char161" w:customStyle="1">
    <w:name w:val="WW8Num30z1"/>
    <w:rPr>
      <w:rFonts w:ascii="Courier New" w:hAnsi="Courier New" w:cs="Courier New"/>
    </w:rPr>
  </w:style>
  <w:style w:type="character" w:styleId="char162" w:customStyle="1">
    <w:name w:val="WW8Num30z2"/>
    <w:rPr>
      <w:rFonts w:ascii="Wingdings" w:hAnsi="Wingdings" w:cs="Wingdings"/>
    </w:rPr>
  </w:style>
  <w:style w:type="character" w:styleId="char163" w:customStyle="1">
    <w:name w:val="WW8Num30z3"/>
    <w:rPr>
      <w:rFonts w:ascii="Symbol" w:hAnsi="Symbol" w:cs="Symbol"/>
    </w:rPr>
  </w:style>
  <w:style w:type="character" w:styleId="char164" w:customStyle="1">
    <w:name w:val="WW8Num31z0"/>
  </w:style>
  <w:style w:type="character" w:styleId="char165" w:customStyle="1">
    <w:name w:val="WW8Num32z0"/>
  </w:style>
  <w:style w:type="character" w:styleId="char166" w:customStyle="1">
    <w:name w:val="WW8Num32z1"/>
  </w:style>
  <w:style w:type="character" w:styleId="char167" w:customStyle="1">
    <w:name w:val="WW8Num32z2"/>
  </w:style>
  <w:style w:type="character" w:styleId="char168" w:customStyle="1">
    <w:name w:val="WW8Num32z3"/>
  </w:style>
  <w:style w:type="character" w:styleId="char169" w:customStyle="1">
    <w:name w:val="WW8Num32z4"/>
  </w:style>
  <w:style w:type="character" w:styleId="char170" w:customStyle="1">
    <w:name w:val="WW8Num32z5"/>
  </w:style>
  <w:style w:type="character" w:styleId="char171" w:customStyle="1">
    <w:name w:val="WW8Num32z6"/>
  </w:style>
  <w:style w:type="character" w:styleId="char172" w:customStyle="1">
    <w:name w:val="WW8Num32z7"/>
  </w:style>
  <w:style w:type="character" w:styleId="char173" w:customStyle="1">
    <w:name w:val="WW8Num32z8"/>
  </w:style>
  <w:style w:type="character" w:styleId="char174" w:customStyle="1">
    <w:name w:val="WW8Num33z0"/>
  </w:style>
  <w:style w:type="character" w:styleId="char175" w:customStyle="1">
    <w:name w:val="WW8Num33z1"/>
  </w:style>
  <w:style w:type="character" w:styleId="char176" w:customStyle="1">
    <w:name w:val="WW8Num33z2"/>
  </w:style>
  <w:style w:type="character" w:styleId="char177" w:customStyle="1">
    <w:name w:val="WW8Num33z3"/>
  </w:style>
  <w:style w:type="character" w:styleId="char178" w:customStyle="1">
    <w:name w:val="WW8Num33z4"/>
  </w:style>
  <w:style w:type="character" w:styleId="char179" w:customStyle="1">
    <w:name w:val="WW8Num33z5"/>
  </w:style>
  <w:style w:type="character" w:styleId="char180" w:customStyle="1">
    <w:name w:val="WW8Num33z6"/>
  </w:style>
  <w:style w:type="character" w:styleId="char181" w:customStyle="1">
    <w:name w:val="WW8Num33z7"/>
  </w:style>
  <w:style w:type="character" w:styleId="char182" w:customStyle="1">
    <w:name w:val="WW8Num33z8"/>
  </w:style>
  <w:style w:type="character" w:styleId="char183" w:customStyle="1">
    <w:name w:val="WW8Num34z0"/>
  </w:style>
  <w:style w:type="character" w:styleId="char184" w:customStyle="1">
    <w:name w:val="WW8Num34z1"/>
  </w:style>
  <w:style w:type="character" w:styleId="char185" w:customStyle="1">
    <w:name w:val="WW8Num34z2"/>
  </w:style>
  <w:style w:type="character" w:styleId="char186" w:customStyle="1">
    <w:name w:val="WW8Num34z3"/>
  </w:style>
  <w:style w:type="character" w:styleId="char187" w:customStyle="1">
    <w:name w:val="WW8Num34z4"/>
  </w:style>
  <w:style w:type="character" w:styleId="char188" w:customStyle="1">
    <w:name w:val="WW8Num34z5"/>
  </w:style>
  <w:style w:type="character" w:styleId="char189" w:customStyle="1">
    <w:name w:val="WW8Num34z6"/>
  </w:style>
  <w:style w:type="character" w:styleId="char190" w:customStyle="1">
    <w:name w:val="WW8Num34z7"/>
  </w:style>
  <w:style w:type="character" w:styleId="char191" w:customStyle="1">
    <w:name w:val="WW8Num34z8"/>
  </w:style>
  <w:style w:type="character" w:styleId="char192" w:customStyle="1">
    <w:name w:val="WW8Num35z0"/>
    <w:rPr>
      <w:rFonts w:ascii="Times New Roman" w:hAnsi="Times New Roman" w:cs="Calibri"/>
      <w:b w:val="0"/>
    </w:rPr>
  </w:style>
  <w:style w:type="character" w:styleId="char193" w:customStyle="1">
    <w:name w:val="WW8Num35z1"/>
    <w:rPr>
      <w:rFonts w:ascii="Times New Roman" w:hAnsi="Times New Roman" w:eastAsia="Calibri" w:cs="Times New Roman"/>
    </w:rPr>
  </w:style>
  <w:style w:type="character" w:styleId="char194" w:customStyle="1">
    <w:name w:val="WW8Num35z2"/>
    <w:rPr>
      <w:rFonts w:ascii="Symbol" w:hAnsi="Symbol" w:cs="OpenSymbol"/>
    </w:rPr>
  </w:style>
  <w:style w:type="character" w:styleId="char195" w:customStyle="1">
    <w:name w:val="WW8Num36z0"/>
    <w:rPr>
      <w:rFonts w:ascii="Symbol" w:hAnsi="Symbol" w:cs="Symbol"/>
    </w:rPr>
  </w:style>
  <w:style w:type="character" w:styleId="char196" w:customStyle="1">
    <w:name w:val="WW8Num36z1"/>
    <w:rPr>
      <w:rFonts w:ascii="Courier New" w:hAnsi="Courier New" w:cs="Courier New"/>
    </w:rPr>
  </w:style>
  <w:style w:type="character" w:styleId="char197" w:customStyle="1">
    <w:name w:val="WW8Num36z2"/>
    <w:rPr>
      <w:rFonts w:ascii="Wingdings" w:hAnsi="Wingdings" w:cs="Wingdings"/>
    </w:rPr>
  </w:style>
  <w:style w:type="character" w:styleId="char198" w:customStyle="1">
    <w:name w:val="WW8Num37z0"/>
    <w:rPr>
      <w:rFonts w:ascii="Symbol" w:hAnsi="Symbol" w:cs="Symbol"/>
      <w:szCs w:val="24"/>
    </w:rPr>
  </w:style>
  <w:style w:type="character" w:styleId="char199" w:customStyle="1">
    <w:name w:val="WW8Num37z1"/>
    <w:rPr>
      <w:rFonts w:ascii="Courier New" w:hAnsi="Courier New" w:cs="Courier New"/>
    </w:rPr>
  </w:style>
  <w:style w:type="character" w:styleId="char200" w:customStyle="1">
    <w:name w:val="WW8Num37z2"/>
    <w:rPr>
      <w:rFonts w:ascii="Wingdings" w:hAnsi="Wingdings" w:cs="Wingdings"/>
    </w:rPr>
  </w:style>
  <w:style w:type="character" w:styleId="char201" w:customStyle="1">
    <w:name w:val="WW8Num38z0"/>
  </w:style>
  <w:style w:type="character" w:styleId="char202" w:customStyle="1">
    <w:name w:val="WW8Num38z1"/>
  </w:style>
  <w:style w:type="character" w:styleId="char203" w:customStyle="1">
    <w:name w:val="WW8Num38z2"/>
  </w:style>
  <w:style w:type="character" w:styleId="char204" w:customStyle="1">
    <w:name w:val="WW8Num38z3"/>
  </w:style>
  <w:style w:type="character" w:styleId="char205" w:customStyle="1">
    <w:name w:val="WW8Num38z4"/>
  </w:style>
  <w:style w:type="character" w:styleId="char206" w:customStyle="1">
    <w:name w:val="WW8Num38z5"/>
  </w:style>
  <w:style w:type="character" w:styleId="char207" w:customStyle="1">
    <w:name w:val="WW8Num38z6"/>
  </w:style>
  <w:style w:type="character" w:styleId="char208" w:customStyle="1">
    <w:name w:val="WW8Num38z7"/>
  </w:style>
  <w:style w:type="character" w:styleId="char209" w:customStyle="1">
    <w:name w:val="WW8Num38z8"/>
  </w:style>
  <w:style w:type="character" w:styleId="char210" w:customStyle="1">
    <w:name w:val="WW8Num39z0"/>
  </w:style>
  <w:style w:type="character" w:styleId="char211" w:customStyle="1">
    <w:name w:val="WW8Num40z0"/>
    <w:rPr>
      <w:rFonts w:ascii="Symbol" w:hAnsi="Symbol" w:cs="Symbol"/>
    </w:rPr>
  </w:style>
  <w:style w:type="character" w:styleId="char212" w:customStyle="1">
    <w:name w:val="WW8Num40z1"/>
    <w:rPr>
      <w:rFonts w:ascii="Courier New" w:hAnsi="Courier New" w:cs="Courier New"/>
    </w:rPr>
  </w:style>
  <w:style w:type="character" w:styleId="char213" w:customStyle="1">
    <w:name w:val="WW8Num40z2"/>
    <w:rPr>
      <w:rFonts w:ascii="Wingdings" w:hAnsi="Wingdings" w:cs="Wingdings"/>
    </w:rPr>
  </w:style>
  <w:style w:type="character" w:styleId="char214" w:customStyle="1">
    <w:name w:val="WW8Num41z0"/>
    <w:rPr>
      <w:rFonts w:cs="Times New Roman"/>
    </w:rPr>
  </w:style>
  <w:style w:type="character" w:styleId="char215" w:customStyle="1">
    <w:name w:val="WW8Num41z1"/>
  </w:style>
  <w:style w:type="character" w:styleId="char216" w:customStyle="1">
    <w:name w:val="WW8Num41z2"/>
  </w:style>
  <w:style w:type="character" w:styleId="char217" w:customStyle="1">
    <w:name w:val="WW8Num41z3"/>
  </w:style>
  <w:style w:type="character" w:styleId="char218" w:customStyle="1">
    <w:name w:val="WW8Num41z4"/>
  </w:style>
  <w:style w:type="character" w:styleId="char219" w:customStyle="1">
    <w:name w:val="WW8Num41z5"/>
  </w:style>
  <w:style w:type="character" w:styleId="char220" w:customStyle="1">
    <w:name w:val="WW8Num41z6"/>
  </w:style>
  <w:style w:type="character" w:styleId="char221" w:customStyle="1">
    <w:name w:val="WW8Num41z7"/>
  </w:style>
  <w:style w:type="character" w:styleId="char222" w:customStyle="1">
    <w:name w:val="WW8Num41z8"/>
  </w:style>
  <w:style w:type="character" w:styleId="char223" w:customStyle="1">
    <w:name w:val="Domyślna czcionka akapitu1"/>
  </w:style>
  <w:style w:type="character" w:styleId="char224" w:customStyle="1">
    <w:name w:val="Łącze internetowe"/>
    <w:rPr>
      <w:color w:val="0000ff"/>
      <w:u w:color="auto" w:val="single"/>
    </w:rPr>
  </w:style>
  <w:style w:type="character" w:styleId="char225" w:customStyle="1">
    <w:name w:val="Znaki przypisów końcowych"/>
    <w:rPr>
      <w:vertAlign w:val="superscript"/>
    </w:rPr>
  </w:style>
  <w:style w:type="character" w:styleId="char226">
    <w:name w:val="Page Number"/>
  </w:style>
  <w:style w:type="character" w:styleId="char227" w:customStyle="1">
    <w:name w:val="dane1"/>
    <w:rPr>
      <w:color w:val="0000cd"/>
    </w:rPr>
  </w:style>
  <w:style w:type="character" w:styleId="char228" w:customStyle="1">
    <w:name w:val="Tekst podstawowy Znak"/>
    <w:rPr>
      <w:b/>
      <w:sz w:val="28"/>
    </w:rPr>
  </w:style>
  <w:style w:type="character" w:styleId="char229" w:customStyle="1">
    <w:name w:val="Tekst podstawowy 3 Znak"/>
    <w:rPr>
      <w:sz w:val="16"/>
      <w:szCs w:val="16"/>
    </w:rPr>
  </w:style>
  <w:style w:type="character" w:styleId="char230" w:customStyle="1">
    <w:name w:val="Font Style51"/>
    <w:rPr>
      <w:rFonts w:ascii="Times New Roman" w:hAnsi="Times New Roman" w:cs="Times New Roman"/>
      <w:sz w:val="22"/>
      <w:szCs w:val="22"/>
    </w:rPr>
  </w:style>
  <w:style w:type="character" w:styleId="char231" w:customStyle="1">
    <w:name w:val="Font Style44"/>
    <w:rPr>
      <w:rFonts w:ascii="Times New Roman" w:hAnsi="Times New Roman" w:cs="Times New Roman"/>
      <w:b/>
      <w:bCs/>
      <w:sz w:val="22"/>
      <w:szCs w:val="22"/>
    </w:rPr>
  </w:style>
  <w:style w:type="character" w:styleId="char232" w:customStyle="1">
    <w:name w:val="Font Style48"/>
    <w:rPr>
      <w:rFonts w:ascii="Times New Roman" w:hAnsi="Times New Roman" w:cs="Times New Roman"/>
      <w:b/>
      <w:bCs/>
      <w:sz w:val="22"/>
      <w:szCs w:val="22"/>
    </w:rPr>
  </w:style>
  <w:style w:type="character" w:styleId="char233" w:customStyle="1">
    <w:name w:val="Tytuł Znak"/>
    <w:rPr>
      <w:rFonts w:ascii="Albany" w:hAnsi="Albany" w:eastAsia="HG Mincho Light J" w:cs="Arial"/>
      <w:sz w:val="28"/>
    </w:rPr>
  </w:style>
  <w:style w:type="character" w:styleId="char234" w:customStyle="1">
    <w:name w:val="Tekst podstawowy 2 Znak"/>
    <w:rPr>
      <w:sz w:val="24"/>
    </w:rPr>
  </w:style>
  <w:style w:type="character" w:styleId="char235" w:customStyle="1">
    <w:name w:val="Odwołanie do komentarza1"/>
    <w:rPr>
      <w:sz w:val="16"/>
      <w:szCs w:val="16"/>
    </w:rPr>
  </w:style>
  <w:style w:type="character" w:styleId="char236" w:customStyle="1">
    <w:name w:val="Tekst komentarza Znak"/>
  </w:style>
  <w:style w:type="character" w:styleId="char237" w:customStyle="1">
    <w:name w:val="Temat komentarza Znak"/>
    <w:rPr>
      <w:b/>
      <w:bCs/>
    </w:rPr>
  </w:style>
  <w:style w:type="character" w:styleId="char238" w:customStyle="1">
    <w:name w:val="Nagłówek 8 Znak"/>
    <w:rPr>
      <w:b/>
      <w:bCs/>
      <w:sz w:val="24"/>
    </w:rPr>
  </w:style>
  <w:style w:type="character" w:styleId="char239" w:customStyle="1">
    <w:name w:val="Nagłówek Znak"/>
    <w:rPr>
      <w:sz w:val="24"/>
    </w:rPr>
  </w:style>
  <w:style w:type="character" w:styleId="char240" w:customStyle="1">
    <w:name w:val="Stopka Znak"/>
    <w:rPr>
      <w:sz w:val="24"/>
    </w:rPr>
  </w:style>
  <w:style w:type="character" w:styleId="char241" w:customStyle="1">
    <w:name w:val="Zwykły tekst Znak"/>
    <w:rPr>
      <w:rFonts w:ascii="Courier New" w:hAnsi="Courier New" w:cs="Courier New"/>
    </w:rPr>
  </w:style>
  <w:style w:type="character" w:styleId="char242" w:customStyle="1">
    <w:name w:val="Nagłówek 3 Znak"/>
    <w:rPr>
      <w:sz w:val="32"/>
    </w:rPr>
  </w:style>
  <w:style w:type="character" w:styleId="char243" w:customStyle="1">
    <w:name w:val="tabulatory"/>
  </w:style>
  <w:style w:type="character" w:styleId="char244" w:customStyle="1">
    <w:name w:val="txt-new"/>
  </w:style>
  <w:style w:type="character" w:styleId="char245" w:customStyle="1">
    <w:name w:val="textnode"/>
  </w:style>
  <w:style w:type="character" w:styleId="char246" w:customStyle="1">
    <w:name w:val="highlight"/>
  </w:style>
  <w:style w:type="character" w:styleId="char247" w:customStyle="1">
    <w:name w:val="Wyróżnienie"/>
    <w:rPr>
      <w:i/>
      <w:iCs/>
    </w:rPr>
  </w:style>
  <w:style w:type="character" w:styleId="char248" w:customStyle="1">
    <w:name w:val="NormalBold Char"/>
    <w:rPr>
      <w:b/>
      <w:sz w:val="24"/>
      <w:szCs w:val="22"/>
    </w:rPr>
  </w:style>
  <w:style w:type="character" w:styleId="char249" w:customStyle="1">
    <w:name w:val="DeltaView Insertion"/>
    <w:rPr>
      <w:b/>
      <w:i/>
      <w:spacing w:val="0"/>
    </w:rPr>
  </w:style>
  <w:style w:type="character" w:styleId="char250" w:customStyle="1">
    <w:name w:val="Tekst przypisu dolnego Znak"/>
    <w:rPr>
      <w:rFonts w:eastAsia="Calibri"/>
    </w:rPr>
  </w:style>
  <w:style w:type="character" w:styleId="char251" w:customStyle="1">
    <w:name w:val="Znaki przypisów dolnych"/>
  </w:style>
  <w:style w:type="character" w:styleId="char252" w:customStyle="1">
    <w:name w:val="Nagłówek 1 Znak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253" w:customStyle="1">
    <w:name w:val="Tekst podstawowy wcięty 2 Znak"/>
    <w:rPr>
      <w:sz w:val="24"/>
    </w:rPr>
  </w:style>
  <w:style w:type="character" w:styleId="char254" w:customStyle="1">
    <w:name w:val="Tekst podstawowy wcięty Znak"/>
    <w:rPr>
      <w:sz w:val="24"/>
      <w:szCs w:val="24"/>
    </w:rPr>
  </w:style>
  <w:style w:type="character" w:styleId="char255">
    <w:name w:val="Strong"/>
    <w:rPr>
      <w:b/>
      <w:bCs/>
    </w:rPr>
  </w:style>
  <w:style w:type="character" w:styleId="char256" w:customStyle="1">
    <w:name w:val="Font Style32"/>
    <w:rPr>
      <w:rFonts w:ascii="Times New Roman" w:hAnsi="Times New Roman" w:cs="Times New Roman"/>
      <w:sz w:val="22"/>
      <w:szCs w:val="22"/>
    </w:rPr>
  </w:style>
  <w:style w:type="character" w:styleId="char257" w:customStyle="1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styleId="char258" w:customStyle="1">
    <w:name w:val="Tekst dymka Znak"/>
    <w:rPr>
      <w:rFonts w:ascii="Tahoma" w:hAnsi="Tahoma" w:cs="Tahoma"/>
      <w:sz w:val="16"/>
      <w:szCs w:val="16"/>
    </w:rPr>
  </w:style>
  <w:style w:type="character" w:styleId="char259" w:customStyle="1">
    <w:name w:val="a_lb"/>
  </w:style>
  <w:style w:type="character" w:styleId="char260" w:customStyle="1">
    <w:name w:val="a_lb-s"/>
  </w:style>
  <w:style w:type="character" w:styleId="char261" w:customStyle="1">
    <w:name w:val="Akapit z listą Znak"/>
    <w:rPr>
      <w:sz w:val="24"/>
    </w:rPr>
  </w:style>
  <w:style w:type="character" w:styleId="char262" w:customStyle="1">
    <w:name w:val="Standard Znak"/>
    <w:rPr>
      <w:sz w:val="24"/>
      <w:szCs w:val="24"/>
      <w:lang w:bidi="ar-sa"/>
    </w:rPr>
  </w:style>
  <w:style w:type="character" w:styleId="char263" w:customStyle="1">
    <w:name w:val="Znaki wypunktowania"/>
    <w:rPr>
      <w:rFonts w:ascii="OpenSymbol" w:hAnsi="OpenSymbol" w:eastAsia="OpenSymbol" w:cs="OpenSymbol"/>
    </w:rPr>
  </w:style>
  <w:style w:type="character" w:styleId="char264" w:customStyle="1">
    <w:name w:val="Znaki numeracji"/>
  </w:style>
  <w:style w:type="character" w:styleId="char265" w:customStyle="1">
    <w:name w:val="Tekst dymka Znak1"/>
    <w:basedOn w:val="char0"/>
    <w:rPr>
      <w:rFonts w:ascii="Tahoma" w:hAnsi="Tahoma" w:eastAsia="Times New Roman" w:cs="Tahoma"/>
      <w:sz w:val="16"/>
      <w:szCs w:val="16"/>
    </w:rPr>
  </w:style>
  <w:style w:type="character" w:styleId="char266" w:customStyle="1">
    <w:name w:val="ListLabel 1"/>
    <w:rPr>
      <w:rFonts w:eastAsia="Symbol" w:cs="Symbol"/>
    </w:rPr>
  </w:style>
  <w:style w:type="character" w:styleId="char267" w:customStyle="1">
    <w:name w:val="ListLabel 2"/>
    <w:rPr>
      <w:rFonts w:eastAsia="OpenSymbol" w:cs="OpenSymbol"/>
    </w:rPr>
  </w:style>
  <w:style w:type="character" w:styleId="char268" w:customStyle="1">
    <w:name w:val="ListLabel 3"/>
    <w:rPr>
      <w:rFonts w:eastAsia="OpenSymbol" w:cs="OpenSymbol"/>
    </w:rPr>
  </w:style>
  <w:style w:type="character" w:styleId="char269" w:customStyle="1">
    <w:name w:val="ListLabel 4"/>
    <w:rPr>
      <w:rFonts w:eastAsia="Symbol" w:cs="Symbol"/>
    </w:rPr>
  </w:style>
  <w:style w:type="character" w:styleId="char270" w:customStyle="1">
    <w:name w:val="ListLabel 5"/>
    <w:rPr>
      <w:rFonts w:eastAsia="OpenSymbol" w:cs="OpenSymbol"/>
    </w:rPr>
  </w:style>
  <w:style w:type="character" w:styleId="char271" w:customStyle="1">
    <w:name w:val="ListLabel 6"/>
    <w:rPr>
      <w:rFonts w:eastAsia="OpenSymbol" w:cs="OpenSymbol"/>
    </w:rPr>
  </w:style>
  <w:style w:type="character" w:styleId="char272" w:customStyle="1">
    <w:name w:val="ListLabel 7"/>
    <w:rPr>
      <w:rFonts w:eastAsia="Symbol" w:cs="Symbol"/>
    </w:rPr>
  </w:style>
  <w:style w:type="character" w:styleId="char273" w:customStyle="1">
    <w:name w:val="ListLabel 8"/>
    <w:rPr>
      <w:rFonts w:eastAsia="OpenSymbol" w:cs="OpenSymbol"/>
    </w:rPr>
  </w:style>
  <w:style w:type="character" w:styleId="char274" w:customStyle="1">
    <w:name w:val="ListLabel 9"/>
    <w:rPr>
      <w:rFonts w:eastAsia="OpenSymbol" w:cs="OpenSymbol"/>
    </w:rPr>
  </w:style>
  <w:style w:type="character" w:styleId="char275" w:customStyle="1">
    <w:name w:val="ListLabel 10"/>
    <w:rPr>
      <w:rFonts w:ascii="Calibri" w:hAnsi="Calibri" w:eastAsia="Symbol" w:cs="Symbol"/>
    </w:rPr>
  </w:style>
  <w:style w:type="character" w:styleId="char276" w:customStyle="1">
    <w:name w:val="ListLabel 11"/>
    <w:rPr>
      <w:rFonts w:eastAsia="OpenSymbol" w:cs="OpenSymbol"/>
    </w:rPr>
  </w:style>
  <w:style w:type="character" w:styleId="char277" w:customStyle="1">
    <w:name w:val="ListLabel 12"/>
    <w:rPr>
      <w:rFonts w:eastAsia="OpenSymbol" w:cs="OpenSymbol"/>
    </w:rPr>
  </w:style>
  <w:style w:type="character" w:styleId="char278" w:customStyle="1">
    <w:name w:val="ListLabel 13"/>
    <w:rPr>
      <w:rFonts w:eastAsia="Symbol" w:cs="Symbol"/>
    </w:rPr>
  </w:style>
  <w:style w:type="character" w:styleId="char279" w:customStyle="1">
    <w:name w:val="ListLabel 14"/>
    <w:rPr>
      <w:rFonts w:eastAsia="OpenSymbol" w:cs="OpenSymbol"/>
    </w:rPr>
  </w:style>
  <w:style w:type="character" w:styleId="char280" w:customStyle="1">
    <w:name w:val="ListLabel 15"/>
    <w:rPr>
      <w:rFonts w:eastAsia="OpenSymbol" w:cs="OpenSymbol"/>
    </w:rPr>
  </w:style>
  <w:style w:type="character" w:styleId="char281" w:customStyle="1">
    <w:name w:val="ListLabel 16"/>
    <w:rPr>
      <w:rFonts w:eastAsia="Symbol" w:cs="Symbol"/>
    </w:rPr>
  </w:style>
  <w:style w:type="character" w:styleId="char282" w:customStyle="1">
    <w:name w:val="ListLabel 17"/>
    <w:rPr>
      <w:rFonts w:eastAsia="OpenSymbol" w:cs="OpenSymbol"/>
    </w:rPr>
  </w:style>
  <w:style w:type="character" w:styleId="char283" w:customStyle="1">
    <w:name w:val="ListLabel 18"/>
    <w:rPr>
      <w:rFonts w:eastAsia="OpenSymbol" w:cs="OpenSymbol"/>
    </w:rPr>
  </w:style>
  <w:style w:type="character" w:styleId="char284" w:customStyle="1">
    <w:name w:val="ListLabel 19"/>
    <w:rPr>
      <w:b/>
      <w:caps w:val="0"/>
      <w:smallCaps w:val="0"/>
      <w:sz w:val="22"/>
    </w:rPr>
  </w:style>
  <w:style w:type="character" w:styleId="char285" w:customStyle="1">
    <w:name w:val="ListLabel 20"/>
    <w:rPr>
      <w:rFonts w:cs="Times New Roman"/>
      <w:sz w:val="24"/>
    </w:rPr>
  </w:style>
  <w:style w:type="character" w:styleId="char286" w:customStyle="1">
    <w:name w:val="ListLabel 21"/>
    <w:rPr>
      <w:rFonts w:eastAsia="Symbol" w:cs="Symbol"/>
    </w:rPr>
  </w:style>
  <w:style w:type="character" w:styleId="char287" w:customStyle="1">
    <w:name w:val="ListLabel 22"/>
    <w:rPr>
      <w:rFonts w:eastAsia="Liberation Serif" w:cs="Liberation Serif"/>
    </w:rPr>
  </w:style>
  <w:style w:type="character" w:styleId="char288" w:customStyle="1">
    <w:name w:val="ListLabel 23"/>
    <w:rPr>
      <w:rFonts w:eastAsia="Symbol" w:cs="Symbol"/>
    </w:rPr>
  </w:style>
  <w:style w:type="character" w:styleId="char289" w:customStyle="1">
    <w:name w:val="ListLabel 24"/>
    <w:rPr>
      <w:rFonts w:eastAsia="Times New Roman" w:cs="Times New Roman"/>
    </w:rPr>
  </w:style>
  <w:style w:type="character" w:styleId="char290" w:customStyle="1">
    <w:name w:val="ListLabel 25"/>
    <w:rPr>
      <w:rFonts w:eastAsia="Symbol" w:cs="Symbol"/>
    </w:rPr>
  </w:style>
  <w:style w:type="character" w:styleId="char291" w:customStyle="1">
    <w:name w:val="ListLabel 26"/>
    <w:rPr>
      <w:rFonts w:eastAsia="OpenSymbol" w:cs="OpenSymbol"/>
    </w:rPr>
  </w:style>
  <w:style w:type="character" w:styleId="char292" w:customStyle="1">
    <w:name w:val="ListLabel 27"/>
    <w:rPr>
      <w:rFonts w:eastAsia="OpenSymbol" w:cs="OpenSymbol"/>
    </w:rPr>
  </w:style>
  <w:style w:type="character" w:styleId="char293" w:customStyle="1">
    <w:name w:val="ListLabel 28"/>
    <w:rPr>
      <w:rFonts w:eastAsia="Symbol" w:cs="Symbol"/>
    </w:rPr>
  </w:style>
  <w:style w:type="character" w:styleId="char294" w:customStyle="1">
    <w:name w:val="ListLabel 29"/>
    <w:rPr>
      <w:rFonts w:eastAsia="OpenSymbol" w:cs="OpenSymbol"/>
    </w:rPr>
  </w:style>
  <w:style w:type="character" w:styleId="char295" w:customStyle="1">
    <w:name w:val="ListLabel 30"/>
    <w:rPr>
      <w:rFonts w:eastAsia="OpenSymbol" w:cs="OpenSymbol"/>
    </w:rPr>
  </w:style>
  <w:style w:type="character" w:styleId="char296" w:customStyle="1">
    <w:name w:val="ListLabel 31"/>
    <w:rPr>
      <w:rFonts w:eastAsia="Symbol" w:cs="Symbol"/>
    </w:rPr>
  </w:style>
  <w:style w:type="character" w:styleId="char297" w:customStyle="1">
    <w:name w:val="ListLabel 32"/>
    <w:rPr>
      <w:rFonts w:eastAsia="OpenSymbol" w:cs="OpenSymbol"/>
    </w:rPr>
  </w:style>
  <w:style w:type="character" w:styleId="char298" w:customStyle="1">
    <w:name w:val="ListLabel 33"/>
    <w:rPr>
      <w:rFonts w:eastAsia="OpenSymbol" w:cs="OpenSymbol"/>
    </w:rPr>
  </w:style>
  <w:style w:type="character" w:styleId="char299" w:customStyle="1">
    <w:name w:val="ListLabel 34"/>
    <w:rPr>
      <w:rFonts w:ascii="Calibri" w:hAnsi="Calibri" w:eastAsia="Wingdings" w:cs="Wingdings"/>
    </w:rPr>
  </w:style>
  <w:style w:type="character" w:styleId="char300" w:customStyle="1">
    <w:name w:val="ListLabel 35"/>
    <w:rPr>
      <w:rFonts w:eastAsia="Liberation Serif" w:cs="Liberation Serif"/>
    </w:rPr>
  </w:style>
  <w:style w:type="character" w:styleId="char301" w:customStyle="1">
    <w:name w:val="ListLabel 36"/>
    <w:rPr>
      <w:rFonts w:eastAsia="Symbol" w:cs="Symbol"/>
    </w:rPr>
  </w:style>
  <w:style w:type="character" w:styleId="char302" w:customStyle="1">
    <w:name w:val="ListLabel 37"/>
    <w:rPr>
      <w:rFonts w:eastAsia="OpenSymbol" w:cs="OpenSymbol"/>
    </w:rPr>
  </w:style>
  <w:style w:type="character" w:styleId="char303" w:customStyle="1">
    <w:name w:val="ListLabel 38"/>
    <w:rPr>
      <w:rFonts w:eastAsia="OpenSymbol" w:cs="OpenSymbol"/>
    </w:rPr>
  </w:style>
  <w:style w:type="character" w:styleId="char304" w:customStyle="1">
    <w:name w:val="ListLabel 39"/>
    <w:rPr>
      <w:rFonts w:eastAsia="Symbol" w:cs="Symbol"/>
    </w:rPr>
  </w:style>
  <w:style w:type="character" w:styleId="char305" w:customStyle="1">
    <w:name w:val="ListLabel 40"/>
    <w:rPr>
      <w:rFonts w:eastAsia="OpenSymbol" w:cs="OpenSymbol"/>
    </w:rPr>
  </w:style>
  <w:style w:type="character" w:styleId="char306" w:customStyle="1">
    <w:name w:val="ListLabel 41"/>
    <w:rPr>
      <w:rFonts w:eastAsia="OpenSymbol" w:cs="OpenSymbol"/>
    </w:rPr>
  </w:style>
  <w:style w:type="character" w:styleId="char307" w:customStyle="1">
    <w:name w:val="ListLabel 42"/>
    <w:rPr>
      <w:rFonts w:eastAsia="Symbol" w:cs="Symbol"/>
    </w:rPr>
  </w:style>
  <w:style w:type="character" w:styleId="char308" w:customStyle="1">
    <w:name w:val="ListLabel 43"/>
    <w:rPr>
      <w:rFonts w:eastAsia="OpenSymbol" w:cs="OpenSymbol"/>
    </w:rPr>
  </w:style>
  <w:style w:type="character" w:styleId="char309" w:customStyle="1">
    <w:name w:val="ListLabel 44"/>
    <w:rPr>
      <w:rFonts w:eastAsia="OpenSymbol" w:cs="OpenSymbol"/>
    </w:rPr>
  </w:style>
  <w:style w:type="character" w:styleId="char310" w:customStyle="1">
    <w:name w:val="ListLabel 45"/>
    <w:rPr>
      <w:rFonts w:eastAsia="Symbol" w:cs="Symbol"/>
    </w:rPr>
  </w:style>
  <w:style w:type="character" w:styleId="char311" w:customStyle="1">
    <w:name w:val="ListLabel 46"/>
    <w:rPr>
      <w:rFonts w:eastAsia="OpenSymbol" w:cs="OpenSymbol"/>
    </w:rPr>
  </w:style>
  <w:style w:type="character" w:styleId="char312" w:customStyle="1">
    <w:name w:val="ListLabel 47"/>
    <w:rPr>
      <w:rFonts w:eastAsia="OpenSymbol" w:cs="OpenSymbol"/>
    </w:rPr>
  </w:style>
  <w:style w:type="character" w:styleId="char313" w:customStyle="1">
    <w:name w:val="ListLabel 48"/>
    <w:rPr>
      <w:rFonts w:eastAsia="Symbol" w:cs="Symbol"/>
    </w:rPr>
  </w:style>
  <w:style w:type="character" w:styleId="char314" w:customStyle="1">
    <w:name w:val="ListLabel 49"/>
    <w:rPr>
      <w:rFonts w:eastAsia="OpenSymbol" w:cs="OpenSymbol"/>
    </w:rPr>
  </w:style>
  <w:style w:type="character" w:styleId="char315" w:customStyle="1">
    <w:name w:val="ListLabel 50"/>
    <w:rPr>
      <w:rFonts w:eastAsia="OpenSymbol" w:cs="OpenSymbol"/>
    </w:rPr>
  </w:style>
  <w:style w:type="character" w:styleId="char316" w:customStyle="1">
    <w:name w:val="ListLabel 51"/>
    <w:rPr>
      <w:rFonts w:eastAsia="Symbol" w:cs="Symbol"/>
    </w:rPr>
  </w:style>
  <w:style w:type="character" w:styleId="char317" w:customStyle="1">
    <w:name w:val="ListLabel 52"/>
    <w:rPr>
      <w:rFonts w:eastAsia="OpenSymbol" w:cs="OpenSymbol"/>
    </w:rPr>
  </w:style>
  <w:style w:type="character" w:styleId="char318" w:customStyle="1">
    <w:name w:val="ListLabel 53"/>
    <w:rPr>
      <w:rFonts w:eastAsia="OpenSymbol" w:cs="OpenSymbol"/>
    </w:rPr>
  </w:style>
  <w:style w:type="character" w:styleId="char319" w:customStyle="1">
    <w:name w:val="ListLabel 54"/>
    <w:rPr>
      <w:rFonts w:eastAsia="Symbol" w:cs="Symbol"/>
    </w:rPr>
  </w:style>
  <w:style w:type="character" w:styleId="char320" w:customStyle="1">
    <w:name w:val="ListLabel 55"/>
    <w:rPr>
      <w:rFonts w:eastAsia="Symbol" w:cs="Symbol"/>
    </w:rPr>
  </w:style>
  <w:style w:type="character" w:styleId="char321" w:customStyle="1">
    <w:name w:val="ListLabel 56"/>
    <w:rPr>
      <w:rFonts w:eastAsia="Symbol" w:cs="Symbol"/>
    </w:rPr>
  </w:style>
  <w:style w:type="character" w:styleId="char322" w:customStyle="1">
    <w:name w:val="ListLabel 57"/>
    <w:rPr>
      <w:rFonts w:eastAsia="Symbol" w:cs="Symbol"/>
    </w:rPr>
  </w:style>
  <w:style w:type="character" w:styleId="char323" w:customStyle="1">
    <w:name w:val="ListLabel 58"/>
    <w:rPr>
      <w:rFonts w:eastAsia="Symbol" w:cs="Symbol"/>
    </w:rPr>
  </w:style>
  <w:style w:type="character" w:styleId="char324" w:customStyle="1">
    <w:name w:val="ListLabel 59"/>
    <w:rPr>
      <w:rFonts w:eastAsia="Symbol" w:cs="Symbol"/>
    </w:rPr>
  </w:style>
  <w:style w:type="character" w:styleId="char325" w:customStyle="1">
    <w:name w:val="ListLabel 60"/>
    <w:rPr>
      <w:rFonts w:eastAsia="Symbol" w:cs="Symbol"/>
    </w:rPr>
  </w:style>
  <w:style w:type="character" w:styleId="char326" w:customStyle="1">
    <w:name w:val="ListLabel 61"/>
    <w:rPr>
      <w:rFonts w:eastAsia="Symbol" w:cs="Symbol"/>
    </w:rPr>
  </w:style>
  <w:style w:type="character" w:styleId="char327" w:customStyle="1">
    <w:name w:val="ListLabel 62"/>
    <w:rPr>
      <w:rFonts w:eastAsia="Symbol" w:cs="Symbol"/>
    </w:rPr>
  </w:style>
  <w:style w:type="character" w:styleId="char328" w:customStyle="1">
    <w:name w:val="ListLabel 63"/>
    <w:rPr>
      <w:rFonts w:eastAsia="Wingdings" w:cs="Wingdings"/>
    </w:rPr>
  </w:style>
  <w:style w:type="character" w:styleId="char329" w:customStyle="1">
    <w:name w:val="ListLabel 64"/>
    <w:rPr>
      <w:rFonts w:ascii="Calibri" w:hAnsi="Calibri" w:eastAsia="Wingdings" w:cs="Wingdings"/>
    </w:rPr>
  </w:style>
  <w:style w:type="character" w:styleId="char330" w:customStyle="1">
    <w:name w:val="ListLabel 65"/>
    <w:rPr>
      <w:rFonts w:eastAsia="Times New Roman" w:cs="Times New Roman"/>
    </w:rPr>
  </w:style>
  <w:style w:type="character" w:styleId="char331" w:customStyle="1">
    <w:name w:val="ListLabel 66"/>
    <w:rPr>
      <w:rFonts w:ascii="Calibri" w:hAnsi="Calibri" w:eastAsia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Robert Kłeczek</cp:lastModifiedBy>
  <cp:revision>6</cp:revision>
  <cp:lastPrinted>2018-08-10T10:21:00Z</cp:lastPrinted>
  <dcterms:created xsi:type="dcterms:W3CDTF">2018-09-06T12:31:00Z</dcterms:created>
  <dcterms:modified xsi:type="dcterms:W3CDTF">2018-09-11T19:54:14Z</dcterms:modified>
</cp:coreProperties>
</file>