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93" w:rsidRPr="006A2BD5" w:rsidRDefault="00C74393" w:rsidP="00C74393">
      <w:pPr>
        <w:jc w:val="center"/>
        <w:rPr>
          <w:rFonts w:ascii="Calibri" w:hAnsi="Calibri" w:cs="Calibri"/>
          <w:b/>
          <w:color w:val="000000"/>
          <w:szCs w:val="24"/>
        </w:rPr>
      </w:pPr>
    </w:p>
    <w:p w:rsidR="00C74393" w:rsidRPr="006A2BD5" w:rsidRDefault="00C74393" w:rsidP="00C74393">
      <w:pPr>
        <w:jc w:val="center"/>
        <w:rPr>
          <w:rFonts w:ascii="Calibri" w:hAnsi="Calibri" w:cs="Calibri"/>
          <w:b/>
          <w:szCs w:val="24"/>
        </w:rPr>
      </w:pPr>
      <w:r w:rsidRPr="006A2BD5">
        <w:rPr>
          <w:rFonts w:ascii="Calibri" w:hAnsi="Calibri" w:cs="Calibri"/>
          <w:b/>
          <w:color w:val="000000"/>
          <w:szCs w:val="24"/>
        </w:rPr>
        <w:t xml:space="preserve"> Warunki serwisu pogwarancyjnego</w:t>
      </w:r>
    </w:p>
    <w:p w:rsidR="00C74393" w:rsidRPr="006A2BD5" w:rsidRDefault="00C74393" w:rsidP="00C74393">
      <w:pPr>
        <w:jc w:val="both"/>
        <w:rPr>
          <w:rFonts w:ascii="Calibri" w:hAnsi="Calibri" w:cs="Calibri"/>
          <w:sz w:val="20"/>
        </w:rPr>
      </w:pPr>
      <w:bookmarkStart w:id="0" w:name="_Hlk491252563"/>
      <w:r w:rsidRPr="006A2BD5">
        <w:rPr>
          <w:rFonts w:ascii="Calibri" w:hAnsi="Calibri" w:cs="Calibri"/>
          <w:b/>
          <w:sz w:val="22"/>
          <w:szCs w:val="22"/>
        </w:rPr>
        <w:t xml:space="preserve">w postępowaniu o udzielenie zamówienia publicznego prowadzonego w trybie przetargu nieograniczonego </w:t>
      </w:r>
      <w:bookmarkEnd w:id="0"/>
      <w:r w:rsidRPr="006A2BD5">
        <w:rPr>
          <w:rFonts w:ascii="Calibri" w:hAnsi="Calibri" w:cs="Calibri"/>
          <w:b/>
          <w:sz w:val="22"/>
          <w:szCs w:val="22"/>
        </w:rPr>
        <w:t xml:space="preserve">na </w:t>
      </w:r>
      <w:r w:rsidRPr="006A2BD5">
        <w:rPr>
          <w:rFonts w:ascii="Calibri" w:hAnsi="Calibri" w:cs="Calibri"/>
          <w:b/>
          <w:szCs w:val="24"/>
        </w:rPr>
        <w:t>dostawę SPECT/CT</w:t>
      </w:r>
    </w:p>
    <w:p w:rsidR="001B5599" w:rsidRDefault="001B5599" w:rsidP="00C74393">
      <w:pPr>
        <w:jc w:val="both"/>
        <w:rPr>
          <w:rFonts w:ascii="Calibri" w:hAnsi="Calibri" w:cs="Calibri"/>
          <w:color w:val="000000"/>
        </w:rPr>
      </w:pPr>
    </w:p>
    <w:tbl>
      <w:tblPr>
        <w:tblW w:w="152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
        <w:gridCol w:w="6542"/>
        <w:gridCol w:w="1680"/>
        <w:gridCol w:w="2974"/>
        <w:gridCol w:w="3401"/>
      </w:tblGrid>
      <w:tr w:rsidR="001B5599" w:rsidTr="001B5599">
        <w:trPr>
          <w:trHeight w:val="401"/>
        </w:trPr>
        <w:tc>
          <w:tcPr>
            <w:tcW w:w="6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5599" w:rsidRDefault="001B5599">
            <w:pPr>
              <w:spacing w:line="276" w:lineRule="auto"/>
              <w:jc w:val="center"/>
              <w:rPr>
                <w:rFonts w:ascii="Calibri" w:hAnsi="Calibri" w:cs="Calibri"/>
                <w:b/>
                <w:bCs/>
                <w:color w:val="000000"/>
                <w:szCs w:val="22"/>
                <w:lang w:eastAsia="en-US"/>
              </w:rPr>
            </w:pPr>
            <w:r>
              <w:rPr>
                <w:rFonts w:ascii="Calibri" w:hAnsi="Calibri" w:cs="Calibri"/>
                <w:b/>
                <w:bCs/>
                <w:color w:val="000000"/>
                <w:sz w:val="22"/>
                <w:szCs w:val="22"/>
                <w:lang w:eastAsia="en-US"/>
              </w:rPr>
              <w:t>L.p.</w:t>
            </w:r>
          </w:p>
        </w:tc>
        <w:tc>
          <w:tcPr>
            <w:tcW w:w="65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5599" w:rsidRDefault="001B5599">
            <w:pPr>
              <w:spacing w:line="276" w:lineRule="auto"/>
              <w:jc w:val="center"/>
              <w:rPr>
                <w:rFonts w:ascii="Calibri" w:hAnsi="Calibri" w:cs="Calibri"/>
                <w:b/>
                <w:bCs/>
                <w:color w:val="000000"/>
                <w:szCs w:val="22"/>
                <w:lang w:eastAsia="en-US"/>
              </w:rPr>
            </w:pPr>
            <w:r>
              <w:rPr>
                <w:rFonts w:ascii="Calibri" w:hAnsi="Calibri" w:cs="Calibri"/>
                <w:b/>
                <w:bCs/>
                <w:color w:val="000000"/>
                <w:sz w:val="22"/>
                <w:szCs w:val="22"/>
                <w:lang w:eastAsia="en-US"/>
              </w:rPr>
              <w:t>Parametry wymagane</w:t>
            </w:r>
          </w:p>
        </w:tc>
        <w:tc>
          <w:tcPr>
            <w:tcW w:w="1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5599" w:rsidRDefault="001B5599">
            <w:pPr>
              <w:spacing w:line="276" w:lineRule="auto"/>
              <w:jc w:val="center"/>
              <w:rPr>
                <w:rFonts w:ascii="Calibri" w:hAnsi="Calibri" w:cs="Calibri"/>
                <w:b/>
                <w:bCs/>
                <w:color w:val="000000"/>
                <w:szCs w:val="22"/>
                <w:lang w:eastAsia="en-US"/>
              </w:rPr>
            </w:pPr>
            <w:r>
              <w:rPr>
                <w:rFonts w:ascii="Calibri" w:hAnsi="Calibri" w:cs="Calibri"/>
                <w:b/>
                <w:bCs/>
                <w:color w:val="000000"/>
                <w:sz w:val="22"/>
                <w:szCs w:val="22"/>
                <w:lang w:eastAsia="en-US"/>
              </w:rPr>
              <w:t>Warunek graniczny</w:t>
            </w:r>
          </w:p>
        </w:tc>
        <w:tc>
          <w:tcPr>
            <w:tcW w:w="29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5599" w:rsidRDefault="001B5599">
            <w:pPr>
              <w:spacing w:line="276" w:lineRule="auto"/>
              <w:jc w:val="center"/>
              <w:rPr>
                <w:rFonts w:ascii="Calibri" w:hAnsi="Calibri" w:cs="Calibri"/>
                <w:b/>
                <w:bCs/>
                <w:color w:val="000000"/>
                <w:szCs w:val="22"/>
                <w:lang w:eastAsia="en-US"/>
              </w:rPr>
            </w:pPr>
            <w:r>
              <w:rPr>
                <w:rFonts w:ascii="Calibri" w:hAnsi="Calibri" w:cs="Calibri"/>
                <w:b/>
                <w:bCs/>
                <w:color w:val="000000"/>
                <w:sz w:val="22"/>
                <w:szCs w:val="22"/>
                <w:lang w:eastAsia="en-US"/>
              </w:rPr>
              <w:t>Parametr oferowany</w:t>
            </w:r>
          </w:p>
        </w:tc>
        <w:tc>
          <w:tcPr>
            <w:tcW w:w="34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5599" w:rsidRDefault="001B5599">
            <w:pPr>
              <w:spacing w:line="276" w:lineRule="auto"/>
              <w:jc w:val="center"/>
              <w:rPr>
                <w:rFonts w:ascii="Calibri" w:hAnsi="Calibri" w:cs="Calibri"/>
                <w:b/>
                <w:bCs/>
                <w:color w:val="000000"/>
                <w:szCs w:val="22"/>
                <w:lang w:eastAsia="en-US"/>
              </w:rPr>
            </w:pPr>
            <w:r>
              <w:rPr>
                <w:rFonts w:ascii="Calibri" w:hAnsi="Calibri" w:cs="Calibri"/>
                <w:b/>
                <w:bCs/>
                <w:color w:val="000000"/>
                <w:sz w:val="22"/>
                <w:szCs w:val="22"/>
                <w:lang w:eastAsia="en-US"/>
              </w:rPr>
              <w:t>Ocena w punktach</w:t>
            </w:r>
          </w:p>
        </w:tc>
      </w:tr>
      <w:tr w:rsidR="001B5599" w:rsidTr="001B5599">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uppressAutoHyphens w:val="0"/>
              <w:overflowPunct/>
              <w:autoSpaceDE/>
              <w:autoSpaceDN w:val="0"/>
              <w:spacing w:line="276" w:lineRule="auto"/>
              <w:jc w:val="right"/>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szCs w:val="22"/>
                <w:lang w:eastAsia="ja-JP"/>
              </w:rPr>
            </w:pPr>
            <w:r>
              <w:rPr>
                <w:rFonts w:ascii="Calibri" w:hAnsi="Calibri" w:cs="Calibri"/>
                <w:sz w:val="22"/>
                <w:szCs w:val="22"/>
                <w:lang w:eastAsia="ja-JP"/>
              </w:rPr>
              <w:t xml:space="preserve">Możliwość zgłaszania usterki poprzez: </w:t>
            </w:r>
          </w:p>
          <w:p w:rsidR="001B5599" w:rsidRDefault="001B5599">
            <w:pPr>
              <w:spacing w:line="276" w:lineRule="auto"/>
              <w:rPr>
                <w:rFonts w:ascii="Calibri" w:hAnsi="Calibri" w:cs="Calibri"/>
                <w:szCs w:val="22"/>
                <w:lang w:eastAsia="ja-JP"/>
              </w:rPr>
            </w:pPr>
            <w:r>
              <w:rPr>
                <w:rFonts w:ascii="Calibri" w:hAnsi="Calibri" w:cs="Calibri"/>
                <w:sz w:val="22"/>
                <w:szCs w:val="22"/>
                <w:lang w:eastAsia="ja-JP"/>
              </w:rPr>
              <w:t>a) wskazaną infolinię (czynną od poniedziałku do piątku w godzinach 8:00-17:00)</w:t>
            </w:r>
          </w:p>
          <w:p w:rsidR="001B5599" w:rsidRDefault="001B5599">
            <w:pPr>
              <w:spacing w:line="276" w:lineRule="auto"/>
              <w:rPr>
                <w:rFonts w:ascii="Calibri" w:hAnsi="Calibri" w:cs="Calibri"/>
                <w:szCs w:val="22"/>
                <w:lang w:eastAsia="ja-JP"/>
              </w:rPr>
            </w:pPr>
            <w:r>
              <w:rPr>
                <w:rFonts w:ascii="Calibri" w:hAnsi="Calibri" w:cs="Calibri"/>
                <w:sz w:val="22"/>
                <w:szCs w:val="22"/>
                <w:lang w:eastAsia="ja-JP"/>
              </w:rPr>
              <w:t xml:space="preserve">b) drogą mailową i fax (24/7) </w:t>
            </w:r>
          </w:p>
        </w:tc>
        <w:tc>
          <w:tcPr>
            <w:tcW w:w="1680"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jc w:val="center"/>
              <w:rPr>
                <w:rFonts w:ascii="Calibri" w:hAnsi="Calibri" w:cs="Calibri"/>
                <w:szCs w:val="22"/>
                <w:lang w:eastAsia="ja-JP"/>
              </w:rPr>
            </w:pPr>
            <w:r>
              <w:rPr>
                <w:rFonts w:ascii="Calibri" w:hAnsi="Calibri" w:cs="Calibri"/>
                <w:sz w:val="22"/>
                <w:szCs w:val="22"/>
                <w:lang w:eastAsia="ja-JP"/>
              </w:rPr>
              <w:t>Tak</w:t>
            </w: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 xml:space="preserve">a) i b) – 1 pkt </w:t>
            </w:r>
          </w:p>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a) – 0 pkt</w:t>
            </w:r>
          </w:p>
        </w:tc>
      </w:tr>
      <w:tr w:rsidR="001B5599" w:rsidTr="001B5599">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uppressAutoHyphens w:val="0"/>
              <w:overflowPunct/>
              <w:autoSpaceDE/>
              <w:autoSpaceDN w:val="0"/>
              <w:spacing w:line="276" w:lineRule="auto"/>
              <w:jc w:val="right"/>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szCs w:val="22"/>
                <w:lang w:eastAsia="ja-JP"/>
              </w:rPr>
            </w:pPr>
            <w:r>
              <w:rPr>
                <w:rFonts w:ascii="Calibri" w:hAnsi="Calibri" w:cs="Calibri"/>
                <w:sz w:val="22"/>
                <w:szCs w:val="22"/>
                <w:lang w:eastAsia="ja-JP"/>
              </w:rPr>
              <w:t>Warunki serwisu pogwarancyjnego świadczone na podstawie umowy serwisowej (jednego z wariantów patrz punkty 4 - 6)</w:t>
            </w:r>
          </w:p>
        </w:tc>
        <w:tc>
          <w:tcPr>
            <w:tcW w:w="1680"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szCs w:val="22"/>
                <w:lang w:eastAsia="ja-JP"/>
              </w:rPr>
            </w:pP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Bez oceny punktowej</w:t>
            </w:r>
          </w:p>
        </w:tc>
      </w:tr>
      <w:tr w:rsidR="001B5599" w:rsidTr="001B5599">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pacing w:line="276" w:lineRule="auto"/>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szCs w:val="22"/>
                <w:lang w:eastAsia="ja-JP"/>
              </w:rPr>
            </w:pPr>
            <w:r>
              <w:rPr>
                <w:rFonts w:ascii="Calibri" w:hAnsi="Calibri" w:cs="Calibri"/>
                <w:color w:val="000000"/>
                <w:sz w:val="22"/>
                <w:szCs w:val="22"/>
                <w:lang w:eastAsia="en-US"/>
              </w:rPr>
              <w:t>Czas reakcji serwisowej rozumianej jako podjęcie czynności serwisowych na miejscu instalacji i/lub za pomocą zdalnego serwisu (diagnostyka) w ciągu  1 dnia roboczego.</w:t>
            </w:r>
          </w:p>
        </w:tc>
        <w:tc>
          <w:tcPr>
            <w:tcW w:w="1680"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jc w:val="center"/>
              <w:rPr>
                <w:rFonts w:ascii="Calibri" w:hAnsi="Calibri" w:cs="Calibri"/>
                <w:szCs w:val="22"/>
                <w:lang w:eastAsia="ja-JP"/>
              </w:rPr>
            </w:pPr>
            <w:r>
              <w:rPr>
                <w:rFonts w:ascii="Calibri" w:hAnsi="Calibri" w:cs="Calibri"/>
                <w:sz w:val="22"/>
                <w:szCs w:val="22"/>
                <w:lang w:eastAsia="ja-JP"/>
              </w:rPr>
              <w:t>Tak</w:t>
            </w: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 xml:space="preserve">1 dzień roboczy - 1 pkt </w:t>
            </w:r>
          </w:p>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&gt; 1 dzień roboczy - 0 pkt</w:t>
            </w:r>
          </w:p>
        </w:tc>
      </w:tr>
      <w:tr w:rsidR="001B5599" w:rsidTr="001B5599">
        <w:trPr>
          <w:trHeight w:val="685"/>
        </w:trPr>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pacing w:line="276" w:lineRule="auto"/>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szCs w:val="22"/>
                <w:lang w:eastAsia="ja-JP"/>
              </w:rPr>
            </w:pPr>
            <w:r>
              <w:rPr>
                <w:rFonts w:ascii="Calibri" w:hAnsi="Calibri" w:cs="Calibri"/>
                <w:sz w:val="22"/>
                <w:szCs w:val="22"/>
                <w:lang w:eastAsia="ja-JP"/>
              </w:rPr>
              <w:t xml:space="preserve">Skuteczna naprawa </w:t>
            </w:r>
            <w:r>
              <w:rPr>
                <w:rFonts w:ascii="Calibri" w:hAnsi="Calibri" w:cs="Calibri"/>
                <w:sz w:val="22"/>
                <w:szCs w:val="22"/>
                <w:u w:val="single"/>
                <w:lang w:eastAsia="ja-JP"/>
              </w:rPr>
              <w:t>nie wymagająca</w:t>
            </w:r>
            <w:r>
              <w:rPr>
                <w:rFonts w:ascii="Calibri" w:hAnsi="Calibri" w:cs="Calibri"/>
                <w:sz w:val="22"/>
                <w:szCs w:val="22"/>
                <w:lang w:eastAsia="ja-JP"/>
              </w:rPr>
              <w:t xml:space="preserve"> importu części zamiennych </w:t>
            </w:r>
          </w:p>
        </w:tc>
        <w:tc>
          <w:tcPr>
            <w:tcW w:w="1680"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jc w:val="center"/>
              <w:rPr>
                <w:rFonts w:ascii="Calibri" w:hAnsi="Calibri" w:cs="Calibri"/>
                <w:szCs w:val="22"/>
                <w:lang w:eastAsia="ja-JP"/>
              </w:rPr>
            </w:pPr>
            <w:r>
              <w:rPr>
                <w:rFonts w:ascii="Calibri" w:hAnsi="Calibri" w:cs="Calibri"/>
                <w:sz w:val="22"/>
                <w:szCs w:val="22"/>
                <w:lang w:eastAsia="ja-JP"/>
              </w:rPr>
              <w:t>Tak</w:t>
            </w: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2 dni robocze  – 1 pkt</w:t>
            </w:r>
          </w:p>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&gt; 2 dni robocze – 0 pkt</w:t>
            </w:r>
          </w:p>
        </w:tc>
      </w:tr>
      <w:tr w:rsidR="001B5599" w:rsidTr="001B5599">
        <w:trPr>
          <w:trHeight w:val="587"/>
        </w:trPr>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pacing w:line="276" w:lineRule="auto"/>
              <w:jc w:val="center"/>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szCs w:val="22"/>
                <w:lang w:eastAsia="ja-JP"/>
              </w:rPr>
            </w:pPr>
            <w:r>
              <w:rPr>
                <w:rFonts w:ascii="Calibri" w:hAnsi="Calibri" w:cs="Calibri"/>
                <w:sz w:val="22"/>
                <w:szCs w:val="22"/>
                <w:lang w:eastAsia="ja-JP"/>
              </w:rPr>
              <w:t xml:space="preserve">Skuteczna naprawa </w:t>
            </w:r>
            <w:r>
              <w:rPr>
                <w:rFonts w:ascii="Calibri" w:hAnsi="Calibri" w:cs="Calibri"/>
                <w:sz w:val="22"/>
                <w:szCs w:val="22"/>
                <w:u w:val="single"/>
                <w:lang w:eastAsia="ja-JP"/>
              </w:rPr>
              <w:t>wymagająca</w:t>
            </w:r>
            <w:r>
              <w:rPr>
                <w:rFonts w:ascii="Calibri" w:hAnsi="Calibri" w:cs="Calibri"/>
                <w:sz w:val="22"/>
                <w:szCs w:val="22"/>
                <w:lang w:eastAsia="ja-JP"/>
              </w:rPr>
              <w:t xml:space="preserve"> importu części zamiennych </w:t>
            </w:r>
          </w:p>
        </w:tc>
        <w:tc>
          <w:tcPr>
            <w:tcW w:w="1680"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jc w:val="center"/>
              <w:rPr>
                <w:rFonts w:ascii="Calibri" w:hAnsi="Calibri" w:cs="Calibri"/>
                <w:szCs w:val="22"/>
                <w:lang w:eastAsia="ja-JP"/>
              </w:rPr>
            </w:pPr>
            <w:r>
              <w:rPr>
                <w:rFonts w:ascii="Calibri" w:hAnsi="Calibri" w:cs="Calibri"/>
                <w:sz w:val="22"/>
                <w:szCs w:val="22"/>
                <w:lang w:eastAsia="ja-JP"/>
              </w:rPr>
              <w:t>Tak</w:t>
            </w: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5 dni roboczych (w przypadku pełnej umowy serwisowej) lub</w:t>
            </w:r>
          </w:p>
          <w:p w:rsidR="001B5599" w:rsidRDefault="001B5599">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5 dni roboczych + czas akceptacji przez zamawiającego oferty na część zamienną – 1 pkt</w:t>
            </w:r>
          </w:p>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 xml:space="preserve"> &gt; 5 dni robocze – 0 pkt</w:t>
            </w:r>
          </w:p>
        </w:tc>
      </w:tr>
      <w:tr w:rsidR="001B5599" w:rsidTr="001B5599">
        <w:trPr>
          <w:trHeight w:val="836"/>
        </w:trPr>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uppressAutoHyphens w:val="0"/>
              <w:overflowPunct/>
              <w:autoSpaceDE/>
              <w:autoSpaceDN w:val="0"/>
              <w:spacing w:line="276" w:lineRule="auto"/>
              <w:jc w:val="right"/>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szCs w:val="22"/>
                <w:lang w:eastAsia="ja-JP"/>
              </w:rPr>
            </w:pPr>
            <w:r>
              <w:rPr>
                <w:rFonts w:ascii="Calibri" w:hAnsi="Calibri" w:cs="Calibri"/>
                <w:sz w:val="22"/>
                <w:szCs w:val="22"/>
                <w:lang w:eastAsia="ja-JP"/>
              </w:rPr>
              <w:t>Roczny koszt pełnej umowy serwisowej (z częściami zamiennymi, elementami zużywalnymi, przeglądami i robocizną) w pierwszych 4 latach po zakończeniu gwarancji podstawowej</w:t>
            </w:r>
          </w:p>
        </w:tc>
        <w:tc>
          <w:tcPr>
            <w:tcW w:w="1680"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jc w:val="center"/>
              <w:rPr>
                <w:rFonts w:ascii="Calibri" w:hAnsi="Calibri" w:cs="Calibri"/>
                <w:szCs w:val="22"/>
                <w:lang w:eastAsia="ja-JP"/>
              </w:rPr>
            </w:pPr>
            <w:r>
              <w:rPr>
                <w:rFonts w:ascii="Calibri" w:hAnsi="Calibri" w:cs="Calibri"/>
                <w:sz w:val="22"/>
                <w:szCs w:val="22"/>
                <w:lang w:eastAsia="ja-JP"/>
              </w:rPr>
              <w:t>Tak, podać wartość brutto</w:t>
            </w: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&gt;250.000PLN – 0 pkt</w:t>
            </w:r>
          </w:p>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&lt;250.000PLN – 10 pkt</w:t>
            </w:r>
          </w:p>
        </w:tc>
      </w:tr>
      <w:tr w:rsidR="001B5599" w:rsidTr="001B5599">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uppressAutoHyphens w:val="0"/>
              <w:overflowPunct/>
              <w:autoSpaceDE/>
              <w:autoSpaceDN w:val="0"/>
              <w:spacing w:line="276" w:lineRule="auto"/>
              <w:jc w:val="right"/>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szCs w:val="22"/>
                <w:lang w:eastAsia="ja-JP"/>
              </w:rPr>
            </w:pPr>
            <w:r>
              <w:rPr>
                <w:rFonts w:ascii="Calibri" w:hAnsi="Calibri" w:cs="Calibri"/>
                <w:sz w:val="22"/>
                <w:szCs w:val="22"/>
                <w:lang w:eastAsia="ja-JP"/>
              </w:rPr>
              <w:t>Roczny koszt umowy serwisowej (bez części zamiennymi, z robocizną, obowiązkowymi przeglądami i elementami do przeglądów ) w pierwszych 4 latach po zakończeniu gwarancji podstawowej</w:t>
            </w:r>
          </w:p>
        </w:tc>
        <w:tc>
          <w:tcPr>
            <w:tcW w:w="1680"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jc w:val="center"/>
              <w:rPr>
                <w:rFonts w:ascii="Calibri" w:hAnsi="Calibri" w:cs="Calibri"/>
                <w:szCs w:val="22"/>
                <w:lang w:eastAsia="ja-JP"/>
              </w:rPr>
            </w:pPr>
            <w:r>
              <w:rPr>
                <w:rFonts w:ascii="Calibri" w:hAnsi="Calibri" w:cs="Calibri"/>
                <w:sz w:val="22"/>
                <w:szCs w:val="22"/>
                <w:lang w:eastAsia="ja-JP"/>
              </w:rPr>
              <w:t>Tak, podać wartość brutto</w:t>
            </w: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&gt;100.000PLN – 0 pkt</w:t>
            </w:r>
          </w:p>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&lt;100.000PLN – 5 pkt</w:t>
            </w:r>
          </w:p>
        </w:tc>
      </w:tr>
      <w:tr w:rsidR="001B5599" w:rsidTr="001B5599">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uppressAutoHyphens w:val="0"/>
              <w:overflowPunct/>
              <w:autoSpaceDE/>
              <w:autoSpaceDN w:val="0"/>
              <w:spacing w:line="276" w:lineRule="auto"/>
              <w:jc w:val="right"/>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napToGrid w:val="0"/>
              <w:spacing w:line="276" w:lineRule="auto"/>
              <w:rPr>
                <w:rFonts w:ascii="Calibri" w:hAnsi="Calibri" w:cs="Calibri"/>
                <w:szCs w:val="22"/>
                <w:lang w:eastAsia="en-US"/>
              </w:rPr>
            </w:pPr>
            <w:r>
              <w:rPr>
                <w:rFonts w:ascii="Calibri" w:hAnsi="Calibri" w:cs="Calibri"/>
                <w:sz w:val="22"/>
                <w:szCs w:val="22"/>
                <w:lang w:eastAsia="ja-JP"/>
              </w:rPr>
              <w:t>Roczny koszt umowy serwisowej  obejmującej tylko obowiązkowe przeglądy i elementy do przeglądów w pierwszych 4 latach po zakończeniu gwarancji podstawowej</w:t>
            </w:r>
          </w:p>
        </w:tc>
        <w:tc>
          <w:tcPr>
            <w:tcW w:w="1680"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jc w:val="center"/>
              <w:rPr>
                <w:rFonts w:ascii="Calibri" w:hAnsi="Calibri" w:cs="Calibri"/>
                <w:szCs w:val="22"/>
                <w:lang w:eastAsia="ja-JP"/>
              </w:rPr>
            </w:pPr>
            <w:r>
              <w:rPr>
                <w:rFonts w:ascii="Calibri" w:hAnsi="Calibri" w:cs="Calibri"/>
                <w:sz w:val="22"/>
                <w:szCs w:val="22"/>
                <w:lang w:eastAsia="ja-JP"/>
              </w:rPr>
              <w:t>Tak, podać wartość brutto</w:t>
            </w: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&gt;25.000PLN – 0 pkt</w:t>
            </w:r>
          </w:p>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&lt;25.000PLN – 5 pkt</w:t>
            </w:r>
          </w:p>
        </w:tc>
      </w:tr>
      <w:tr w:rsidR="001B5599" w:rsidTr="001B5599">
        <w:trPr>
          <w:trHeight w:val="170"/>
        </w:trPr>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uppressAutoHyphens w:val="0"/>
              <w:overflowPunct/>
              <w:autoSpaceDE/>
              <w:autoSpaceDN w:val="0"/>
              <w:spacing w:line="276" w:lineRule="auto"/>
              <w:jc w:val="right"/>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napToGrid w:val="0"/>
              <w:spacing w:line="276" w:lineRule="auto"/>
              <w:rPr>
                <w:rFonts w:ascii="Calibri" w:hAnsi="Calibri" w:cs="Calibri"/>
                <w:szCs w:val="22"/>
                <w:lang w:eastAsia="ja-JP"/>
              </w:rPr>
            </w:pPr>
            <w:r>
              <w:rPr>
                <w:rFonts w:ascii="Calibri" w:hAnsi="Calibri" w:cs="Calibri"/>
                <w:sz w:val="22"/>
                <w:szCs w:val="22"/>
                <w:lang w:eastAsia="ja-JP"/>
              </w:rPr>
              <w:t xml:space="preserve">Koszty wymiany lampy: </w:t>
            </w:r>
          </w:p>
        </w:tc>
        <w:tc>
          <w:tcPr>
            <w:tcW w:w="1680"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szCs w:val="22"/>
                <w:lang w:eastAsia="ja-JP"/>
              </w:rPr>
            </w:pP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rPr>
                <w:rFonts w:ascii="Calibri" w:hAnsi="Calibri" w:cs="Calibri"/>
                <w:color w:val="000000"/>
                <w:szCs w:val="22"/>
                <w:lang w:eastAsia="en-US"/>
              </w:rPr>
            </w:pPr>
          </w:p>
        </w:tc>
      </w:tr>
      <w:tr w:rsidR="001B5599" w:rsidTr="001B5599">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pacing w:line="276" w:lineRule="auto"/>
              <w:jc w:val="center"/>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napToGrid w:val="0"/>
              <w:spacing w:line="276" w:lineRule="auto"/>
              <w:rPr>
                <w:rFonts w:ascii="Calibri" w:hAnsi="Calibri" w:cs="Calibri"/>
                <w:szCs w:val="22"/>
                <w:lang w:eastAsia="ja-JP"/>
              </w:rPr>
            </w:pPr>
            <w:r>
              <w:rPr>
                <w:rFonts w:ascii="Calibri" w:hAnsi="Calibri" w:cs="Calibri"/>
                <w:sz w:val="22"/>
                <w:szCs w:val="22"/>
                <w:lang w:eastAsia="ja-JP"/>
              </w:rPr>
              <w:t>- cena jednostkowa (podać)</w:t>
            </w:r>
          </w:p>
        </w:tc>
        <w:tc>
          <w:tcPr>
            <w:tcW w:w="1680"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jc w:val="center"/>
              <w:rPr>
                <w:rFonts w:ascii="Calibri" w:hAnsi="Calibri" w:cs="Calibri"/>
                <w:szCs w:val="22"/>
                <w:lang w:eastAsia="ja-JP"/>
              </w:rPr>
            </w:pPr>
            <w:r>
              <w:rPr>
                <w:rFonts w:ascii="Calibri" w:hAnsi="Calibri" w:cs="Calibri"/>
                <w:sz w:val="22"/>
                <w:szCs w:val="22"/>
                <w:lang w:eastAsia="ja-JP"/>
              </w:rPr>
              <w:t>Tak, podać</w:t>
            </w: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Bez oceny punktowej</w:t>
            </w:r>
          </w:p>
        </w:tc>
      </w:tr>
      <w:tr w:rsidR="001B5599" w:rsidTr="001B5599">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pacing w:line="276" w:lineRule="auto"/>
              <w:jc w:val="center"/>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napToGrid w:val="0"/>
              <w:spacing w:line="276" w:lineRule="auto"/>
              <w:rPr>
                <w:rFonts w:ascii="Calibri" w:hAnsi="Calibri" w:cs="Calibri"/>
                <w:szCs w:val="22"/>
                <w:lang w:eastAsia="ja-JP"/>
              </w:rPr>
            </w:pPr>
            <w:r>
              <w:rPr>
                <w:rFonts w:ascii="Calibri" w:hAnsi="Calibri" w:cs="Calibri"/>
                <w:sz w:val="22"/>
                <w:szCs w:val="22"/>
                <w:lang w:eastAsia="ja-JP"/>
              </w:rPr>
              <w:t>- długość gwarancji bez limitu skanów w miesiącach (podać)</w:t>
            </w:r>
          </w:p>
        </w:tc>
        <w:tc>
          <w:tcPr>
            <w:tcW w:w="1680"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jc w:val="center"/>
              <w:rPr>
                <w:rFonts w:ascii="Calibri" w:hAnsi="Calibri" w:cs="Calibri"/>
                <w:szCs w:val="22"/>
                <w:lang w:eastAsia="ja-JP"/>
              </w:rPr>
            </w:pPr>
            <w:r>
              <w:rPr>
                <w:rFonts w:ascii="Calibri" w:hAnsi="Calibri" w:cs="Calibri"/>
                <w:sz w:val="22"/>
                <w:szCs w:val="22"/>
                <w:lang w:eastAsia="ja-JP"/>
              </w:rPr>
              <w:t>Tak, podać</w:t>
            </w: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Bez oceny punktowej</w:t>
            </w:r>
          </w:p>
        </w:tc>
      </w:tr>
      <w:tr w:rsidR="001B5599" w:rsidTr="001B5599">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pacing w:line="276" w:lineRule="auto"/>
              <w:jc w:val="center"/>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napToGrid w:val="0"/>
              <w:spacing w:line="276" w:lineRule="auto"/>
              <w:rPr>
                <w:rFonts w:ascii="Calibri" w:hAnsi="Calibri" w:cs="Calibri"/>
                <w:szCs w:val="22"/>
                <w:lang w:eastAsia="ja-JP"/>
              </w:rPr>
            </w:pPr>
            <w:r>
              <w:rPr>
                <w:rFonts w:ascii="Calibri" w:hAnsi="Calibri" w:cs="Calibri"/>
                <w:sz w:val="22"/>
                <w:szCs w:val="22"/>
                <w:lang w:eastAsia="ja-JP"/>
              </w:rPr>
              <w:t>- współczynnik ceny do długości gwarancji = cena jednostkowa/ długość gwarancji bez limitu skanów w miesiącach</w:t>
            </w:r>
          </w:p>
        </w:tc>
        <w:tc>
          <w:tcPr>
            <w:tcW w:w="1680"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jc w:val="center"/>
              <w:rPr>
                <w:rFonts w:ascii="Calibri" w:hAnsi="Calibri" w:cs="Calibri"/>
                <w:szCs w:val="22"/>
                <w:lang w:eastAsia="ja-JP"/>
              </w:rPr>
            </w:pPr>
            <w:r>
              <w:rPr>
                <w:rFonts w:ascii="Calibri" w:hAnsi="Calibri" w:cs="Calibri"/>
                <w:sz w:val="22"/>
                <w:szCs w:val="22"/>
                <w:lang w:eastAsia="ja-JP"/>
              </w:rPr>
              <w:t>Tak, podać</w:t>
            </w: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 xml:space="preserve">&lt; 15.000 – 10pkt </w:t>
            </w:r>
          </w:p>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 xml:space="preserve">&gt;15.000 – 0pkt </w:t>
            </w:r>
          </w:p>
        </w:tc>
      </w:tr>
      <w:tr w:rsidR="001B5599" w:rsidTr="001B5599">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uppressAutoHyphens w:val="0"/>
              <w:overflowPunct/>
              <w:autoSpaceDE/>
              <w:autoSpaceDN w:val="0"/>
              <w:spacing w:line="276" w:lineRule="auto"/>
              <w:jc w:val="right"/>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napToGrid w:val="0"/>
              <w:spacing w:line="276" w:lineRule="auto"/>
              <w:rPr>
                <w:rFonts w:ascii="Calibri" w:hAnsi="Calibri" w:cs="Calibri"/>
                <w:szCs w:val="22"/>
                <w:lang w:eastAsia="ja-JP"/>
              </w:rPr>
            </w:pPr>
            <w:r>
              <w:rPr>
                <w:rFonts w:ascii="Calibri" w:hAnsi="Calibri" w:cs="Calibri"/>
                <w:sz w:val="22"/>
                <w:szCs w:val="22"/>
                <w:lang w:eastAsia="ja-JP"/>
              </w:rPr>
              <w:t>Koszt 1 roboczogodziny</w:t>
            </w:r>
          </w:p>
        </w:tc>
        <w:tc>
          <w:tcPr>
            <w:tcW w:w="1680"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jc w:val="center"/>
              <w:rPr>
                <w:rFonts w:ascii="Calibri" w:hAnsi="Calibri" w:cs="Calibri"/>
                <w:szCs w:val="22"/>
                <w:lang w:eastAsia="ja-JP"/>
              </w:rPr>
            </w:pPr>
            <w:r>
              <w:rPr>
                <w:rFonts w:ascii="Calibri" w:hAnsi="Calibri" w:cs="Calibri"/>
                <w:sz w:val="22"/>
                <w:szCs w:val="22"/>
                <w:lang w:eastAsia="ja-JP"/>
              </w:rPr>
              <w:t>Tak, podać</w:t>
            </w: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&gt;300PLN – 0 pkt</w:t>
            </w:r>
          </w:p>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&lt;300PLN – 3 pkt</w:t>
            </w:r>
          </w:p>
        </w:tc>
      </w:tr>
      <w:tr w:rsidR="001B5599" w:rsidTr="001B5599">
        <w:tc>
          <w:tcPr>
            <w:tcW w:w="643" w:type="dxa"/>
            <w:tcBorders>
              <w:top w:val="single" w:sz="4" w:space="0" w:color="auto"/>
              <w:left w:val="single" w:sz="4" w:space="0" w:color="auto"/>
              <w:bottom w:val="single" w:sz="4" w:space="0" w:color="auto"/>
              <w:right w:val="single" w:sz="4" w:space="0" w:color="auto"/>
            </w:tcBorders>
          </w:tcPr>
          <w:p w:rsidR="001B5599" w:rsidRDefault="001B5599" w:rsidP="001B5599">
            <w:pPr>
              <w:numPr>
                <w:ilvl w:val="0"/>
                <w:numId w:val="5"/>
              </w:numPr>
              <w:suppressAutoHyphens w:val="0"/>
              <w:overflowPunct/>
              <w:autoSpaceDE/>
              <w:autoSpaceDN w:val="0"/>
              <w:spacing w:line="276" w:lineRule="auto"/>
              <w:jc w:val="right"/>
              <w:textAlignment w:val="auto"/>
              <w:rPr>
                <w:rFonts w:ascii="Calibri" w:hAnsi="Calibri" w:cs="Calibri"/>
                <w:bCs/>
                <w:color w:val="000000"/>
                <w:szCs w:val="22"/>
                <w:lang w:eastAsia="en-US"/>
              </w:rPr>
            </w:pPr>
          </w:p>
        </w:tc>
        <w:tc>
          <w:tcPr>
            <w:tcW w:w="6542" w:type="dxa"/>
            <w:tcBorders>
              <w:top w:val="single" w:sz="4" w:space="0" w:color="auto"/>
              <w:left w:val="single" w:sz="4" w:space="0" w:color="auto"/>
              <w:bottom w:val="single" w:sz="4" w:space="0" w:color="auto"/>
              <w:right w:val="single" w:sz="4" w:space="0" w:color="auto"/>
            </w:tcBorders>
            <w:hideMark/>
          </w:tcPr>
          <w:p w:rsidR="001B5599" w:rsidRDefault="001B5599">
            <w:pPr>
              <w:snapToGrid w:val="0"/>
              <w:spacing w:line="276" w:lineRule="auto"/>
              <w:rPr>
                <w:rFonts w:ascii="Calibri" w:hAnsi="Calibri" w:cs="Calibri"/>
                <w:szCs w:val="22"/>
                <w:lang w:eastAsia="en-US"/>
              </w:rPr>
            </w:pPr>
            <w:r>
              <w:rPr>
                <w:rFonts w:ascii="Calibri" w:hAnsi="Calibri" w:cs="Calibri"/>
                <w:sz w:val="22"/>
                <w:szCs w:val="22"/>
                <w:lang w:eastAsia="en-US"/>
              </w:rPr>
              <w:t>Zryczałtowany koszt dojazdu do szpitala</w:t>
            </w:r>
          </w:p>
        </w:tc>
        <w:tc>
          <w:tcPr>
            <w:tcW w:w="1680"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jc w:val="center"/>
              <w:rPr>
                <w:rFonts w:ascii="Calibri" w:hAnsi="Calibri" w:cs="Calibri"/>
                <w:szCs w:val="22"/>
                <w:lang w:eastAsia="ja-JP"/>
              </w:rPr>
            </w:pPr>
            <w:r>
              <w:rPr>
                <w:rFonts w:ascii="Calibri" w:hAnsi="Calibri" w:cs="Calibri"/>
                <w:sz w:val="22"/>
                <w:szCs w:val="22"/>
                <w:lang w:eastAsia="ja-JP"/>
              </w:rPr>
              <w:t>Tak, podać</w:t>
            </w:r>
          </w:p>
        </w:tc>
        <w:tc>
          <w:tcPr>
            <w:tcW w:w="2974" w:type="dxa"/>
            <w:tcBorders>
              <w:top w:val="single" w:sz="4" w:space="0" w:color="auto"/>
              <w:left w:val="single" w:sz="4" w:space="0" w:color="auto"/>
              <w:bottom w:val="single" w:sz="4" w:space="0" w:color="auto"/>
              <w:right w:val="single" w:sz="4" w:space="0" w:color="auto"/>
            </w:tcBorders>
          </w:tcPr>
          <w:p w:rsidR="001B5599" w:rsidRDefault="001B5599">
            <w:pPr>
              <w:spacing w:line="276" w:lineRule="auto"/>
              <w:jc w:val="center"/>
              <w:rPr>
                <w:rFonts w:ascii="Calibri" w:hAnsi="Calibri" w:cs="Calibri"/>
                <w:color w:val="000000"/>
                <w:szCs w:val="22"/>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1B5599" w:rsidRDefault="001B5599">
            <w:pPr>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&gt;150PLN – 0 pkt</w:t>
            </w:r>
          </w:p>
          <w:p w:rsidR="001B5599" w:rsidRDefault="001B5599">
            <w:pPr>
              <w:spacing w:line="276" w:lineRule="auto"/>
              <w:rPr>
                <w:rFonts w:ascii="Calibri" w:hAnsi="Calibri" w:cs="Calibri"/>
                <w:color w:val="000000"/>
                <w:szCs w:val="22"/>
                <w:lang w:eastAsia="en-US"/>
              </w:rPr>
            </w:pPr>
            <w:r>
              <w:rPr>
                <w:rFonts w:ascii="Calibri" w:hAnsi="Calibri" w:cs="Calibri"/>
                <w:color w:val="000000"/>
                <w:sz w:val="22"/>
                <w:szCs w:val="22"/>
                <w:lang w:eastAsia="en-US"/>
              </w:rPr>
              <w:t>&lt;150PLN – 1 pkt</w:t>
            </w:r>
          </w:p>
        </w:tc>
      </w:tr>
    </w:tbl>
    <w:p w:rsidR="001B5599" w:rsidRDefault="001B5599" w:rsidP="001B5599">
      <w:pPr>
        <w:widowControl w:val="0"/>
        <w:overflowPunct/>
        <w:autoSpaceDE/>
        <w:autoSpaceDN w:val="0"/>
        <w:rPr>
          <w:rFonts w:ascii="Book Antiqua" w:eastAsia="Lucida Sans Unicode" w:hAnsi="Book Antiqua" w:cs="Arial"/>
          <w:b/>
          <w:kern w:val="2"/>
          <w:sz w:val="20"/>
        </w:rPr>
      </w:pPr>
      <w:r>
        <w:rPr>
          <w:rFonts w:ascii="Book Antiqua" w:eastAsia="Lucida Sans Unicode" w:hAnsi="Book Antiqua" w:cs="Arial"/>
          <w:b/>
          <w:kern w:val="2"/>
          <w:sz w:val="20"/>
        </w:rPr>
        <w:t xml:space="preserve">Maksymalna, możliwa do uzyskania liczba punktów to: </w:t>
      </w:r>
      <w:r>
        <w:rPr>
          <w:rFonts w:ascii="Book Antiqua" w:eastAsia="Lucida Sans Unicode" w:hAnsi="Book Antiqua" w:cs="Arial"/>
          <w:b/>
          <w:kern w:val="2"/>
          <w:sz w:val="20"/>
        </w:rPr>
        <w:t>38</w:t>
      </w:r>
      <w:r>
        <w:rPr>
          <w:rFonts w:ascii="Book Antiqua" w:eastAsia="Lucida Sans Unicode" w:hAnsi="Book Antiqua" w:cs="Arial"/>
          <w:b/>
          <w:kern w:val="2"/>
          <w:sz w:val="20"/>
        </w:rPr>
        <w:t xml:space="preserve"> pkt.</w:t>
      </w:r>
    </w:p>
    <w:p w:rsidR="001B5599" w:rsidRDefault="001B5599" w:rsidP="001B5599">
      <w:pPr>
        <w:jc w:val="both"/>
        <w:rPr>
          <w:rFonts w:ascii="Calibri" w:hAnsi="Calibri" w:cs="Calibri"/>
          <w:color w:val="000000"/>
        </w:rPr>
      </w:pPr>
    </w:p>
    <w:p w:rsidR="001B5599" w:rsidRPr="001B5599" w:rsidRDefault="001B5599" w:rsidP="001B5599">
      <w:pPr>
        <w:jc w:val="both"/>
        <w:rPr>
          <w:rFonts w:ascii="Calibri" w:hAnsi="Calibri" w:cs="Calibri"/>
          <w:color w:val="000000"/>
          <w:sz w:val="22"/>
          <w:szCs w:val="22"/>
        </w:rPr>
      </w:pPr>
      <w:r w:rsidRPr="001B5599">
        <w:rPr>
          <w:rFonts w:ascii="Calibri" w:hAnsi="Calibri" w:cs="Calibri"/>
          <w:color w:val="000000"/>
          <w:sz w:val="22"/>
          <w:szCs w:val="22"/>
        </w:rPr>
        <w:t>Wykonawca i/lub wykonawca i autoryzowany serwis producenta oświadcza, że:</w:t>
      </w:r>
    </w:p>
    <w:p w:rsidR="001B5599" w:rsidRPr="001B5599" w:rsidRDefault="001B5599" w:rsidP="001B5599">
      <w:pPr>
        <w:jc w:val="both"/>
        <w:rPr>
          <w:rFonts w:ascii="Calibri" w:hAnsi="Calibri" w:cs="Calibri"/>
          <w:color w:val="000000"/>
          <w:sz w:val="22"/>
          <w:szCs w:val="22"/>
        </w:rPr>
      </w:pPr>
      <w:r w:rsidRPr="001B5599">
        <w:rPr>
          <w:rFonts w:ascii="Calibri" w:hAnsi="Calibri" w:cs="Calibri"/>
          <w:color w:val="000000"/>
          <w:sz w:val="22"/>
          <w:szCs w:val="22"/>
        </w:rPr>
        <w:t xml:space="preserve">- ww. warunki i koszty serwisu pogwarancyjnego będą stabilne przez min. 4 lata po zakończeniu gwarancji podstawowej, z zastrzeżeniem prawa Wykonawcy do waloryzacji wynagrodzenia po upływie 12 miesięcy od daty zawarcia umowy, której przedmiotem będzie serwis pogwarancyjny oraz po upływie 12 miesięcy od poprzedniej waloryzacji. Każda waloryzacja będzie odpowiadała zmianie wskaźnika cen towarów i usług konsumpcyjnych publikowanego przez Główny Urząd Statystyczny za okres 12 miesięcy realizacji umowy, których ta waloryzacja  będzie dotyczyć, lecz łączna wartość waloryzacji nie może przekroczyć 20% wynagrodzenia brutto Wykonawcy za cały okres realizacji umowy. Warunkiem waloryzacji jest zmiana umowy w formie pisemnego aneksu. </w:t>
      </w:r>
    </w:p>
    <w:p w:rsidR="001B5599" w:rsidRPr="001B5599" w:rsidRDefault="001B5599" w:rsidP="001B5599">
      <w:pPr>
        <w:jc w:val="both"/>
        <w:rPr>
          <w:rFonts w:ascii="Calibri" w:hAnsi="Calibri" w:cs="Calibri"/>
          <w:color w:val="000000"/>
          <w:sz w:val="22"/>
          <w:szCs w:val="22"/>
        </w:rPr>
      </w:pPr>
      <w:r w:rsidRPr="001B5599">
        <w:rPr>
          <w:rFonts w:ascii="Calibri" w:hAnsi="Calibri" w:cs="Calibri"/>
          <w:color w:val="000000"/>
          <w:sz w:val="22"/>
          <w:szCs w:val="22"/>
        </w:rPr>
        <w:t xml:space="preserve">- na wezwanie Zamawiającego podpisze Umowę serwisową na warunkach nie gorszych dla szpitala niż zadeklarowane w Tabeli.   </w:t>
      </w:r>
    </w:p>
    <w:p w:rsidR="001B5599" w:rsidRDefault="001B5599" w:rsidP="001B5599">
      <w:pPr>
        <w:rPr>
          <w:rFonts w:ascii="Calibri" w:hAnsi="Calibri" w:cs="Calibri"/>
          <w:sz w:val="20"/>
        </w:rPr>
      </w:pPr>
    </w:p>
    <w:p w:rsidR="001B5599" w:rsidRDefault="001B5599" w:rsidP="001B5599">
      <w:pPr>
        <w:rPr>
          <w:rFonts w:ascii="Calibri" w:hAnsi="Calibri" w:cs="Calibri"/>
          <w:sz w:val="20"/>
        </w:rPr>
      </w:pPr>
    </w:p>
    <w:p w:rsidR="001B5599" w:rsidRDefault="001B5599" w:rsidP="001B5599">
      <w:pPr>
        <w:rPr>
          <w:rFonts w:ascii="Calibri" w:hAnsi="Calibri" w:cs="Calibri"/>
          <w:sz w:val="20"/>
        </w:rPr>
      </w:pPr>
    </w:p>
    <w:p w:rsidR="001B5599" w:rsidRDefault="001B5599" w:rsidP="001B5599">
      <w:pPr>
        <w:jc w:val="both"/>
        <w:rPr>
          <w:rFonts w:ascii="Calibri" w:hAnsi="Calibri" w:cs="Calibri"/>
          <w:sz w:val="20"/>
        </w:rPr>
      </w:pPr>
      <w:r>
        <w:rPr>
          <w:rFonts w:ascii="Calibri" w:hAnsi="Calibri" w:cs="Calibri"/>
          <w:sz w:val="20"/>
        </w:rPr>
        <w:t>…………………., dnia ……………………</w:t>
      </w:r>
    </w:p>
    <w:p w:rsidR="001B5599" w:rsidRDefault="001B5599" w:rsidP="001B5599">
      <w:pPr>
        <w:jc w:val="right"/>
        <w:rPr>
          <w:rFonts w:ascii="Calibri" w:hAnsi="Calibri" w:cs="Calibri"/>
          <w:sz w:val="20"/>
        </w:rPr>
      </w:pPr>
      <w:r>
        <w:rPr>
          <w:rFonts w:ascii="Calibri" w:hAnsi="Calibri" w:cs="Calibri"/>
          <w:sz w:val="20"/>
        </w:rPr>
        <w:t>……………………………………….</w:t>
      </w:r>
    </w:p>
    <w:p w:rsidR="001B5599" w:rsidRDefault="001B5599" w:rsidP="001B5599">
      <w:pPr>
        <w:jc w:val="right"/>
        <w:rPr>
          <w:rFonts w:ascii="Calibri" w:hAnsi="Calibri" w:cs="Calibri"/>
          <w:sz w:val="20"/>
        </w:rPr>
      </w:pPr>
      <w:r>
        <w:rPr>
          <w:rFonts w:ascii="Calibri" w:hAnsi="Calibri" w:cs="Calibri"/>
          <w:sz w:val="20"/>
        </w:rPr>
        <w:t>Podpis/-y osoby/-</w:t>
      </w:r>
      <w:proofErr w:type="spellStart"/>
      <w:r>
        <w:rPr>
          <w:rFonts w:ascii="Calibri" w:hAnsi="Calibri" w:cs="Calibri"/>
          <w:sz w:val="20"/>
        </w:rPr>
        <w:t>ób</w:t>
      </w:r>
      <w:proofErr w:type="spellEnd"/>
      <w:r>
        <w:rPr>
          <w:rFonts w:ascii="Calibri" w:hAnsi="Calibri" w:cs="Calibri"/>
          <w:sz w:val="20"/>
        </w:rPr>
        <w:t xml:space="preserve"> reprezentującej </w:t>
      </w:r>
    </w:p>
    <w:p w:rsidR="001B5599" w:rsidRDefault="001B5599" w:rsidP="001B5599">
      <w:pPr>
        <w:jc w:val="right"/>
        <w:rPr>
          <w:rFonts w:ascii="Calibri" w:hAnsi="Calibri" w:cs="Calibri"/>
          <w:sz w:val="20"/>
        </w:rPr>
      </w:pPr>
      <w:r>
        <w:rPr>
          <w:rFonts w:ascii="Calibri" w:hAnsi="Calibri" w:cs="Calibri"/>
          <w:sz w:val="20"/>
        </w:rPr>
        <w:t>wykonawcę i autoryzowany serwis</w:t>
      </w:r>
    </w:p>
    <w:p w:rsidR="001B5599" w:rsidRDefault="001B5599" w:rsidP="001B5599">
      <w:pPr>
        <w:jc w:val="right"/>
        <w:rPr>
          <w:rFonts w:ascii="Calibri" w:hAnsi="Calibri" w:cs="Calibri"/>
          <w:sz w:val="20"/>
        </w:rPr>
      </w:pPr>
    </w:p>
    <w:p w:rsidR="001B5599" w:rsidRDefault="001B5599" w:rsidP="001B5599">
      <w:pPr>
        <w:rPr>
          <w:rFonts w:ascii="Calibri" w:hAnsi="Calibri" w:cs="Calibri"/>
          <w:b/>
          <w:bCs/>
          <w:szCs w:val="24"/>
          <w:u w:val="single"/>
        </w:rPr>
      </w:pPr>
      <w:r>
        <w:rPr>
          <w:rFonts w:ascii="Calibri" w:hAnsi="Calibri" w:cs="Calibri"/>
          <w:sz w:val="22"/>
          <w:szCs w:val="22"/>
        </w:rPr>
        <w:t>*UWAGA: w przypadku jeżeli wykonawca nie posiada uprawnień autoryzowanego serwisu producenta urządzenia na terenie RP, dla ważności oświadczenia, wymagany dodatkowy podpis osoby uprawnionej do reprezentowania podmiotu posiadającego uprawnienia do prowadzenia autoryzowanego serwisu producenta urządzenia na terenie RP (dołączyć autoryzację producenta).</w:t>
      </w:r>
      <w:bookmarkStart w:id="1" w:name="_GoBack"/>
      <w:bookmarkEnd w:id="1"/>
    </w:p>
    <w:sectPr w:rsidR="001B5599" w:rsidSect="00C74393">
      <w:headerReference w:type="default" r:id="rId8"/>
      <w:footerReference w:type="default" r:id="rId9"/>
      <w:footnotePr>
        <w:pos w:val="beneathText"/>
      </w:footnotePr>
      <w:pgSz w:w="16837" w:h="11905" w:orient="landscape"/>
      <w:pgMar w:top="1418" w:right="1418" w:bottom="1418" w:left="675"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78" w:rsidRDefault="00DD3078" w:rsidP="00DD3078">
      <w:r>
        <w:separator/>
      </w:r>
    </w:p>
  </w:endnote>
  <w:endnote w:type="continuationSeparator" w:id="0">
    <w:p w:rsidR="00DD3078" w:rsidRDefault="00DD3078" w:rsidP="00DD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53827"/>
      <w:docPartObj>
        <w:docPartGallery w:val="Page Numbers (Bottom of Page)"/>
        <w:docPartUnique/>
      </w:docPartObj>
    </w:sdtPr>
    <w:sdtContent>
      <w:p w:rsidR="001B5599" w:rsidRDefault="001B5599">
        <w:pPr>
          <w:pStyle w:val="Stopka"/>
          <w:jc w:val="right"/>
        </w:pPr>
        <w:r>
          <w:fldChar w:fldCharType="begin"/>
        </w:r>
        <w:r>
          <w:instrText>PAGE   \* MERGEFORMAT</w:instrText>
        </w:r>
        <w:r>
          <w:fldChar w:fldCharType="separate"/>
        </w:r>
        <w:r>
          <w:rPr>
            <w:noProof/>
          </w:rPr>
          <w:t>1</w:t>
        </w:r>
        <w:r>
          <w:fldChar w:fldCharType="end"/>
        </w:r>
      </w:p>
    </w:sdtContent>
  </w:sdt>
  <w:p w:rsidR="001B5599" w:rsidRDefault="001B55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78" w:rsidRDefault="00DD3078" w:rsidP="00DD3078">
      <w:r>
        <w:separator/>
      </w:r>
    </w:p>
  </w:footnote>
  <w:footnote w:type="continuationSeparator" w:id="0">
    <w:p w:rsidR="00DD3078" w:rsidRDefault="00DD3078" w:rsidP="00DD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78" w:rsidRPr="00DD3078" w:rsidRDefault="00DD3078">
    <w:pPr>
      <w:pStyle w:val="Nagwek"/>
      <w:rPr>
        <w:rFonts w:ascii="Calibri" w:hAnsi="Calibri"/>
      </w:rPr>
    </w:pPr>
    <w:r w:rsidRPr="00DD3078">
      <w:rPr>
        <w:rFonts w:ascii="Calibri" w:hAnsi="Calibri"/>
      </w:rPr>
      <w:t xml:space="preserve">ZZP-174/18 </w:t>
    </w:r>
    <w:r w:rsidRPr="00DD3078">
      <w:rPr>
        <w:rFonts w:ascii="Calibri" w:hAnsi="Calibri"/>
      </w:rPr>
      <w:tab/>
    </w:r>
    <w:r w:rsidRPr="00DD3078">
      <w:rPr>
        <w:rFonts w:ascii="Calibri" w:hAnsi="Calibri"/>
      </w:rPr>
      <w:tab/>
    </w:r>
    <w:r w:rsidRPr="00DD3078">
      <w:rPr>
        <w:rFonts w:ascii="Calibri" w:hAnsi="Calibri"/>
      </w:rPr>
      <w:tab/>
    </w:r>
    <w:r w:rsidRPr="00DD3078">
      <w:rPr>
        <w:rFonts w:ascii="Calibri" w:hAnsi="Calibri"/>
      </w:rPr>
      <w:tab/>
    </w:r>
    <w:r w:rsidRPr="00DD3078">
      <w:rPr>
        <w:rFonts w:ascii="Calibri" w:hAnsi="Calibri"/>
      </w:rPr>
      <w:tab/>
    </w:r>
    <w:r>
      <w:rPr>
        <w:rFonts w:ascii="Calibri" w:hAnsi="Calibri"/>
      </w:rPr>
      <w:tab/>
    </w:r>
    <w:r>
      <w:rPr>
        <w:rFonts w:ascii="Calibri" w:hAnsi="Calibri"/>
      </w:rPr>
      <w:tab/>
    </w:r>
    <w:r w:rsidR="00AE3A44">
      <w:rPr>
        <w:rFonts w:ascii="Calibri" w:hAnsi="Calibri"/>
        <w:i/>
      </w:rPr>
      <w:t>Załącznik nr 2c</w:t>
    </w:r>
    <w:r w:rsidRPr="00DD3078">
      <w:rPr>
        <w:rFonts w:ascii="Calibri" w:hAnsi="Calibri"/>
        <w:i/>
      </w:rPr>
      <w:t xml:space="preserve"> do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8ED"/>
    <w:multiLevelType w:val="hybridMultilevel"/>
    <w:tmpl w:val="66820D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D0B3E62"/>
    <w:multiLevelType w:val="hybridMultilevel"/>
    <w:tmpl w:val="0C96158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nsid w:val="3DDB4976"/>
    <w:multiLevelType w:val="hybridMultilevel"/>
    <w:tmpl w:val="DD42D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04D7D"/>
    <w:multiLevelType w:val="hybridMultilevel"/>
    <w:tmpl w:val="66EE2158"/>
    <w:lvl w:ilvl="0" w:tplc="82EAE1E2">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55528D"/>
    <w:multiLevelType w:val="hybridMultilevel"/>
    <w:tmpl w:val="B5C60E1A"/>
    <w:lvl w:ilvl="0" w:tplc="82EAE1E2">
      <w:start w:val="1"/>
      <w:numFmt w:val="decimal"/>
      <w:lvlText w:val="%1."/>
      <w:lvlJc w:val="center"/>
      <w:pPr>
        <w:tabs>
          <w:tab w:val="num" w:pos="356"/>
        </w:tabs>
        <w:ind w:left="356" w:hanging="356"/>
      </w:pPr>
      <w:rPr>
        <w:rFonts w:cs="Times New Roman"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num w:numId="1">
    <w:abstractNumId w:val="4"/>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3D"/>
    <w:rsid w:val="00043151"/>
    <w:rsid w:val="001B5599"/>
    <w:rsid w:val="003F393D"/>
    <w:rsid w:val="0048656F"/>
    <w:rsid w:val="00664E0B"/>
    <w:rsid w:val="006731E2"/>
    <w:rsid w:val="007F219B"/>
    <w:rsid w:val="008D5020"/>
    <w:rsid w:val="00AE3A44"/>
    <w:rsid w:val="00B5714E"/>
    <w:rsid w:val="00C37B55"/>
    <w:rsid w:val="00C74393"/>
    <w:rsid w:val="00DC2A1D"/>
    <w:rsid w:val="00DD3078"/>
    <w:rsid w:val="00E42BAA"/>
    <w:rsid w:val="00EA2E09"/>
    <w:rsid w:val="00F40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4393"/>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3078"/>
    <w:pPr>
      <w:tabs>
        <w:tab w:val="center" w:pos="4536"/>
        <w:tab w:val="right" w:pos="9072"/>
      </w:tabs>
    </w:pPr>
  </w:style>
  <w:style w:type="character" w:customStyle="1" w:styleId="NagwekZnak">
    <w:name w:val="Nagłówek Znak"/>
    <w:basedOn w:val="Domylnaczcionkaakapitu"/>
    <w:link w:val="Nagwek"/>
    <w:uiPriority w:val="99"/>
    <w:rsid w:val="00DD307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D3078"/>
    <w:pPr>
      <w:tabs>
        <w:tab w:val="center" w:pos="4536"/>
        <w:tab w:val="right" w:pos="9072"/>
      </w:tabs>
    </w:pPr>
  </w:style>
  <w:style w:type="character" w:customStyle="1" w:styleId="StopkaZnak">
    <w:name w:val="Stopka Znak"/>
    <w:basedOn w:val="Domylnaczcionkaakapitu"/>
    <w:link w:val="Stopka"/>
    <w:uiPriority w:val="99"/>
    <w:rsid w:val="00DD307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D3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4393"/>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3078"/>
    <w:pPr>
      <w:tabs>
        <w:tab w:val="center" w:pos="4536"/>
        <w:tab w:val="right" w:pos="9072"/>
      </w:tabs>
    </w:pPr>
  </w:style>
  <w:style w:type="character" w:customStyle="1" w:styleId="NagwekZnak">
    <w:name w:val="Nagłówek Znak"/>
    <w:basedOn w:val="Domylnaczcionkaakapitu"/>
    <w:link w:val="Nagwek"/>
    <w:uiPriority w:val="99"/>
    <w:rsid w:val="00DD307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D3078"/>
    <w:pPr>
      <w:tabs>
        <w:tab w:val="center" w:pos="4536"/>
        <w:tab w:val="right" w:pos="9072"/>
      </w:tabs>
    </w:pPr>
  </w:style>
  <w:style w:type="character" w:customStyle="1" w:styleId="StopkaZnak">
    <w:name w:val="Stopka Znak"/>
    <w:basedOn w:val="Domylnaczcionkaakapitu"/>
    <w:link w:val="Stopka"/>
    <w:uiPriority w:val="99"/>
    <w:rsid w:val="00DD307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D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6320">
      <w:bodyDiv w:val="1"/>
      <w:marLeft w:val="0"/>
      <w:marRight w:val="0"/>
      <w:marTop w:val="0"/>
      <w:marBottom w:val="0"/>
      <w:divBdr>
        <w:top w:val="none" w:sz="0" w:space="0" w:color="auto"/>
        <w:left w:val="none" w:sz="0" w:space="0" w:color="auto"/>
        <w:bottom w:val="none" w:sz="0" w:space="0" w:color="auto"/>
        <w:right w:val="none" w:sz="0" w:space="0" w:color="auto"/>
      </w:divBdr>
    </w:div>
    <w:div w:id="13313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leszkrol</dc:creator>
  <cp:lastModifiedBy>Joanna Henkelmann</cp:lastModifiedBy>
  <cp:revision>2</cp:revision>
  <dcterms:created xsi:type="dcterms:W3CDTF">2018-09-20T10:15:00Z</dcterms:created>
  <dcterms:modified xsi:type="dcterms:W3CDTF">2018-09-20T10:15:00Z</dcterms:modified>
</cp:coreProperties>
</file>